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2522" w14:textId="77777777" w:rsidR="00C55CDA" w:rsidRPr="00C55CDA" w:rsidRDefault="00C55CDA" w:rsidP="00C55CDA">
      <w:pPr>
        <w:shd w:val="clear" w:color="auto" w:fill="E4E8EC"/>
        <w:spacing w:after="0" w:line="240" w:lineRule="auto"/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Ensuring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safety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in a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context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prolonged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disruption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-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Lessons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learnt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from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regulatory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operational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experiences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COVID-19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pandemic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prospects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for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future</w:t>
      </w:r>
      <w:proofErr w:type="spellEnd"/>
    </w:p>
    <w:p w14:paraId="6BC04272" w14:textId="16C2AADE" w:rsidR="00C55CDA" w:rsidRPr="00C55CDA" w:rsidRDefault="00C55CDA" w:rsidP="00C55CDA">
      <w:pPr>
        <w:shd w:val="clear" w:color="auto" w:fill="E4E8EC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sk-SK"/>
        </w:rPr>
      </w:pPr>
      <w:r w:rsidRPr="00C55CDA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sk-SK"/>
        </w:rPr>
        <mc:AlternateContent>
          <mc:Choice Requires="wps">
            <w:drawing>
              <wp:inline distT="0" distB="0" distL="0" distR="0" wp14:anchorId="7D08FAF2" wp14:editId="03FCDD4E">
                <wp:extent cx="304800" cy="304800"/>
                <wp:effectExtent l="0" t="0" r="0" b="0"/>
                <wp:docPr id="2" name="Obdĺžn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AC955" id="Obdĺžnik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Zy9XD/MBAADFAwAADgAAAAAAAAAAAAAAAAAuAgAAZHJzL2Uyb0Rv&#10;Yy54bWxQSwECLQAUAAYACAAAACEATKDpLNgAAAADAQAADwAAAAAAAAAAAAAAAABNBAAAZHJzL2Rv&#10;d25yZXYueG1sUEsFBgAAAAAEAAQA8wAAAFIFAAAAAA==&#10;" filled="f" stroked="f">
                <o:lock v:ext="edit" aspectratio="t"/>
                <w10:anchorlock/>
              </v:rect>
            </w:pict>
          </mc:Fallback>
        </mc:AlternateContent>
      </w:r>
    </w:p>
    <w:p w14:paraId="49C1F8FD" w14:textId="77777777" w:rsidR="00C55CDA" w:rsidRPr="00C55CDA" w:rsidRDefault="00C55CDA" w:rsidP="00C55CDA">
      <w:pPr>
        <w:shd w:val="clear" w:color="auto" w:fill="5C7FC2"/>
        <w:spacing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sk-SK"/>
        </w:rPr>
      </w:pPr>
      <w:hyperlink r:id="rId4" w:tgtFrame="_blank" w:history="1">
        <w:r w:rsidRPr="00C55CDA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 xml:space="preserve">Register </w:t>
        </w:r>
        <w:proofErr w:type="spellStart"/>
        <w:r w:rsidRPr="00C55CDA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>for</w:t>
        </w:r>
        <w:proofErr w:type="spellEnd"/>
        <w:r w:rsidRPr="00C55CDA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 xml:space="preserve"> </w:t>
        </w:r>
        <w:proofErr w:type="spellStart"/>
        <w:r w:rsidRPr="00C55CDA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>the</w:t>
        </w:r>
        <w:proofErr w:type="spellEnd"/>
        <w:r w:rsidRPr="00C55CDA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 xml:space="preserve"> event</w:t>
        </w:r>
      </w:hyperlink>
    </w:p>
    <w:p w14:paraId="3179D934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biggest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challenge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organisations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during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prolonged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disruptions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availability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a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workforce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with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required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skills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competencies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In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addition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in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such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situations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there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need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adaptability of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procedures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as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well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as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technical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human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resources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Co-ordination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between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governmental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organisations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(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e.g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medical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military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)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other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stakeholders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(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e.g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licensees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regulators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suppliers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international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organisations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)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changes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during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pandemic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or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other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emergency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expected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and/or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unexpected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critical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situations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also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affects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ability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workers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ensure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safety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.</w:t>
      </w:r>
    </w:p>
    <w:p w14:paraId="2A8E6AD2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Co-hosted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by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Nuclear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Energy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Agency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(NEA),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French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Authority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Nuclear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Safety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Radiation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Protection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(ASNR),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European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Commission's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Joint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Research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Centre (JRC),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this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workshop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will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provide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opportunity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share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practices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lessons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learnt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ensuring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compliance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while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leaving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room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workers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proactive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with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emphasis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on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training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staff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mental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health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well-being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In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this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context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speakers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will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also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address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positive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impacts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collaboration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increasingly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remote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working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environment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.</w:t>
      </w:r>
    </w:p>
    <w:p w14:paraId="34A4C658" w14:textId="77777777" w:rsidR="00C55CDA" w:rsidRPr="00C55CDA" w:rsidRDefault="00C55CDA" w:rsidP="00C55CDA">
      <w:pPr>
        <w:shd w:val="clear" w:color="auto" w:fill="E4E8EC"/>
        <w:spacing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During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sessions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participants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will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discuss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research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development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work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needed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better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prepare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prospect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future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prolonged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disruptions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Presentations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will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highlight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consequences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challenges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that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stemmed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from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pandemic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require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work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address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near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-term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longer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-term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impacts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such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as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hybrid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working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and/or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lastRenderedPageBreak/>
        <w:t>digitalisation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work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processes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types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new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risks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that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may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emerge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after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temporary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or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permanent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adaptations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. </w:t>
      </w:r>
    </w:p>
    <w:p w14:paraId="3059DF75" w14:textId="12008D31" w:rsidR="00C55CDA" w:rsidRPr="00C55CDA" w:rsidRDefault="00C55CDA" w:rsidP="00C55CDA">
      <w:pPr>
        <w:shd w:val="clear" w:color="auto" w:fill="5C7FC2"/>
        <w:spacing w:after="0"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sk-SK"/>
        </w:rPr>
      </w:pPr>
      <w:hyperlink r:id="rId5" w:tgtFrame="_blank" w:history="1">
        <w:r w:rsidRPr="00C55CDA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 xml:space="preserve">Download </w:t>
        </w:r>
        <w:proofErr w:type="spellStart"/>
        <w:r w:rsidRPr="00C55CDA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>the</w:t>
        </w:r>
        <w:proofErr w:type="spellEnd"/>
        <w:r w:rsidRPr="00C55CDA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 xml:space="preserve"> agenda </w:t>
        </w:r>
        <w:r w:rsidRPr="00C55CDA">
          <w:rPr>
            <w:rFonts w:ascii="Helvetica" w:eastAsia="Times New Roman" w:hAnsi="Helvetica" w:cs="Times New Roman"/>
            <w:noProof/>
            <w:color w:val="FFFFFF"/>
            <w:sz w:val="30"/>
            <w:szCs w:val="30"/>
            <w:lang w:eastAsia="sk-SK"/>
          </w:rPr>
          <mc:AlternateContent>
            <mc:Choice Requires="wps">
              <w:drawing>
                <wp:inline distT="0" distB="0" distL="0" distR="0" wp14:anchorId="5C901B96" wp14:editId="1E67DFC7">
                  <wp:extent cx="304800" cy="304800"/>
                  <wp:effectExtent l="0" t="0" r="0" b="0"/>
                  <wp:docPr id="1" name="Obdĺžnik 1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A13BAA9" id="Obdĺžnik 1" o:spid="_x0000_s1026" href="https://oecd-nea.org/upload/docs/application/pdf/2025-02/wghof_workshop_1_page_programme_1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</w:hyperlink>
    </w:p>
    <w:p w14:paraId="02DE5BE8" w14:textId="77777777" w:rsidR="00C55CDA" w:rsidRPr="00C55CDA" w:rsidRDefault="00C55CDA" w:rsidP="00C55CDA">
      <w:pPr>
        <w:shd w:val="clear" w:color="auto" w:fill="5C7FC2"/>
        <w:spacing w:line="240" w:lineRule="auto"/>
        <w:rPr>
          <w:rFonts w:ascii="Helvetica" w:eastAsia="Times New Roman" w:hAnsi="Helvetica" w:cs="Times New Roman"/>
          <w:color w:val="FFFFFF"/>
          <w:sz w:val="20"/>
          <w:szCs w:val="20"/>
          <w:lang w:eastAsia="sk-SK"/>
        </w:rPr>
      </w:pPr>
      <w:r w:rsidRPr="00C55CDA">
        <w:rPr>
          <w:rFonts w:ascii="Helvetica" w:eastAsia="Times New Roman" w:hAnsi="Helvetica" w:cs="Times New Roman"/>
          <w:color w:val="FFFFFF"/>
          <w:sz w:val="20"/>
          <w:szCs w:val="20"/>
          <w:lang w:eastAsia="sk-SK"/>
        </w:rPr>
        <w:t>130.57 KB</w:t>
      </w:r>
    </w:p>
    <w:p w14:paraId="277882F0" w14:textId="77777777" w:rsidR="00C55CDA" w:rsidRPr="00C55CDA" w:rsidRDefault="00C55CDA" w:rsidP="00C55CDA">
      <w:pPr>
        <w:shd w:val="clear" w:color="auto" w:fill="E4E8EC"/>
        <w:spacing w:line="240" w:lineRule="auto"/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>Programme</w:t>
      </w:r>
      <w:proofErr w:type="spellEnd"/>
    </w:p>
    <w:p w14:paraId="5543F8BF" w14:textId="77777777" w:rsidR="00C55CDA" w:rsidRPr="00C55CDA" w:rsidRDefault="00C55CDA" w:rsidP="00C55CDA">
      <w:pPr>
        <w:pBdr>
          <w:bottom w:val="dashed" w:sz="6" w:space="1" w:color="EAEAEA"/>
        </w:pBdr>
        <w:shd w:val="clear" w:color="auto" w:fill="E4E8EC"/>
        <w:spacing w:before="210" w:after="75" w:line="240" w:lineRule="auto"/>
        <w:outlineLvl w:val="2"/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>Each</w:t>
      </w:r>
      <w:proofErr w:type="spellEnd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>topic</w:t>
      </w:r>
      <w:proofErr w:type="spellEnd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>consists</w:t>
      </w:r>
      <w:proofErr w:type="spellEnd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>of</w:t>
      </w:r>
      <w:proofErr w:type="spellEnd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>one</w:t>
      </w:r>
      <w:proofErr w:type="spellEnd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>two</w:t>
      </w:r>
      <w:proofErr w:type="spellEnd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>sessions</w:t>
      </w:r>
      <w:proofErr w:type="spellEnd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>with</w:t>
      </w:r>
      <w:proofErr w:type="spellEnd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>respective</w:t>
      </w:r>
      <w:proofErr w:type="spellEnd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inherit" w:eastAsia="Times New Roman" w:hAnsi="inherit" w:cs="Times New Roman"/>
          <w:color w:val="333333"/>
          <w:sz w:val="27"/>
          <w:szCs w:val="27"/>
          <w:lang w:eastAsia="sk-SK"/>
        </w:rPr>
        <w:t>discussions</w:t>
      </w:r>
      <w:proofErr w:type="spellEnd"/>
    </w:p>
    <w:p w14:paraId="2BAA93C6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Topic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1: Risk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governance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prolonged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disruptions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and business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continuity</w:t>
      </w:r>
      <w:proofErr w:type="spellEnd"/>
    </w:p>
    <w:p w14:paraId="49F3EB58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i/>
          <w:iCs/>
          <w:color w:val="333333"/>
          <w:sz w:val="27"/>
          <w:szCs w:val="27"/>
          <w:lang w:eastAsia="sk-SK"/>
        </w:rPr>
        <w:t>Session</w:t>
      </w:r>
      <w:proofErr w:type="spellEnd"/>
      <w:r w:rsidRPr="00C55CDA">
        <w:rPr>
          <w:rFonts w:ascii="Helvetica" w:eastAsia="Times New Roman" w:hAnsi="Helvetica" w:cs="Times New Roman"/>
          <w:i/>
          <w:iCs/>
          <w:color w:val="333333"/>
          <w:sz w:val="27"/>
          <w:szCs w:val="27"/>
          <w:lang w:eastAsia="sk-SK"/>
        </w:rPr>
        <w:t xml:space="preserve"> 1:</w:t>
      </w:r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 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Evolution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co-ordination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between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government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organisations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other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stakeholders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during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pandemic</w:t>
      </w:r>
      <w:proofErr w:type="spellEnd"/>
    </w:p>
    <w:p w14:paraId="2D9875B2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i/>
          <w:iCs/>
          <w:color w:val="333333"/>
          <w:sz w:val="27"/>
          <w:szCs w:val="27"/>
          <w:lang w:eastAsia="sk-SK"/>
        </w:rPr>
        <w:t>Session</w:t>
      </w:r>
      <w:proofErr w:type="spellEnd"/>
      <w:r w:rsidRPr="00C55CDA">
        <w:rPr>
          <w:rFonts w:ascii="Helvetica" w:eastAsia="Times New Roman" w:hAnsi="Helvetica" w:cs="Times New Roman"/>
          <w:i/>
          <w:iCs/>
          <w:color w:val="333333"/>
          <w:sz w:val="27"/>
          <w:szCs w:val="27"/>
          <w:lang w:eastAsia="sk-SK"/>
        </w:rPr>
        <w:t xml:space="preserve"> 2:</w:t>
      </w:r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 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How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do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nuclear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actors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deal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with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non-nuclear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emergencies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especially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when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involve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managing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different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inter-connected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phenomena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?</w:t>
      </w:r>
    </w:p>
    <w:p w14:paraId="4CE808A0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Topic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2: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Adaptation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prospects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for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future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ensure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sustainable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performance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in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face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prolonged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disruptions</w:t>
      </w:r>
      <w:proofErr w:type="spellEnd"/>
    </w:p>
    <w:p w14:paraId="7C9FCF98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i/>
          <w:iCs/>
          <w:color w:val="333333"/>
          <w:sz w:val="27"/>
          <w:szCs w:val="27"/>
          <w:lang w:eastAsia="sk-SK"/>
        </w:rPr>
        <w:t>Session</w:t>
      </w:r>
      <w:proofErr w:type="spellEnd"/>
      <w:r w:rsidRPr="00C55CDA">
        <w:rPr>
          <w:rFonts w:ascii="Helvetica" w:eastAsia="Times New Roman" w:hAnsi="Helvetica" w:cs="Times New Roman"/>
          <w:i/>
          <w:iCs/>
          <w:color w:val="333333"/>
          <w:sz w:val="27"/>
          <w:szCs w:val="27"/>
          <w:lang w:eastAsia="sk-SK"/>
        </w:rPr>
        <w:t xml:space="preserve"> 1:</w:t>
      </w:r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 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What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research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development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work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needed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better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prepare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prospect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future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prolonged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disruptions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?</w:t>
      </w:r>
    </w:p>
    <w:p w14:paraId="19EBE286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i/>
          <w:iCs/>
          <w:color w:val="333333"/>
          <w:sz w:val="27"/>
          <w:szCs w:val="27"/>
          <w:lang w:eastAsia="sk-SK"/>
        </w:rPr>
        <w:t>Session</w:t>
      </w:r>
      <w:proofErr w:type="spellEnd"/>
      <w:r w:rsidRPr="00C55CDA">
        <w:rPr>
          <w:rFonts w:ascii="Helvetica" w:eastAsia="Times New Roman" w:hAnsi="Helvetica" w:cs="Times New Roman"/>
          <w:i/>
          <w:iCs/>
          <w:color w:val="333333"/>
          <w:sz w:val="27"/>
          <w:szCs w:val="27"/>
          <w:lang w:eastAsia="sk-SK"/>
        </w:rPr>
        <w:t xml:space="preserve"> 2:</w:t>
      </w:r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 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Which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measures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could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ensure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ability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sustain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performance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individuals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teams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face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prolonged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disruptions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(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e.g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how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manage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long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-term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effects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disruptions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human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technical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resources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establish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procedures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ensure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that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activities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continue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carried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out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safely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)?</w:t>
      </w:r>
    </w:p>
    <w:p w14:paraId="095DDC2A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Topic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3: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Learning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while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managing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prolonged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disruptions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 </w:t>
      </w:r>
    </w:p>
    <w:p w14:paraId="70D3F48C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i/>
          <w:iCs/>
          <w:color w:val="333333"/>
          <w:sz w:val="27"/>
          <w:szCs w:val="27"/>
          <w:lang w:eastAsia="sk-SK"/>
        </w:rPr>
        <w:t>Session</w:t>
      </w:r>
      <w:proofErr w:type="spellEnd"/>
      <w:r w:rsidRPr="00C55CDA">
        <w:rPr>
          <w:rFonts w:ascii="Helvetica" w:eastAsia="Times New Roman" w:hAnsi="Helvetica" w:cs="Times New Roman"/>
          <w:i/>
          <w:iCs/>
          <w:color w:val="333333"/>
          <w:sz w:val="27"/>
          <w:szCs w:val="27"/>
          <w:lang w:eastAsia="sk-SK"/>
        </w:rPr>
        <w:t xml:space="preserve"> 1: 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How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nuclear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actors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feed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back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field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with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view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adapting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learning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practices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(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formal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or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informal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)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build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more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resilient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organisations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during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prolonged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disruptions</w:t>
      </w:r>
      <w:proofErr w:type="spellEnd"/>
    </w:p>
    <w:p w14:paraId="0E598F08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Panel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discussion</w:t>
      </w:r>
      <w:proofErr w:type="spellEnd"/>
    </w:p>
    <w:p w14:paraId="1CD0D63D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Consolidation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session</w:t>
      </w:r>
      <w:proofErr w:type="spellEnd"/>
    </w:p>
    <w:p w14:paraId="12B79BB5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Summary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workshop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findings</w:t>
      </w:r>
      <w:proofErr w:type="spellEnd"/>
    </w:p>
    <w:p w14:paraId="28DD356A" w14:textId="77777777" w:rsidR="00C55CDA" w:rsidRPr="00C55CDA" w:rsidRDefault="00C55CDA" w:rsidP="00C55CDA">
      <w:pPr>
        <w:shd w:val="clear" w:color="auto" w:fill="E4E8EC"/>
        <w:spacing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Discussion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with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participants</w:t>
      </w:r>
      <w:proofErr w:type="spellEnd"/>
    </w:p>
    <w:p w14:paraId="4956E1FF" w14:textId="77777777" w:rsidR="00C55CDA" w:rsidRPr="00C55CDA" w:rsidRDefault="00C55CDA" w:rsidP="00C55CDA">
      <w:pPr>
        <w:shd w:val="clear" w:color="auto" w:fill="E4E8EC"/>
        <w:spacing w:line="240" w:lineRule="auto"/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>Participation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 xml:space="preserve"> and </w:t>
      </w:r>
      <w:proofErr w:type="spellStart"/>
      <w:r w:rsidRPr="00C55CDA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>registration</w:t>
      </w:r>
      <w:proofErr w:type="spellEnd"/>
    </w:p>
    <w:p w14:paraId="2528E036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workshop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open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everyone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.</w:t>
      </w:r>
    </w:p>
    <w:p w14:paraId="2C2E32AA" w14:textId="77777777" w:rsidR="00C55CDA" w:rsidRPr="00C55CDA" w:rsidRDefault="00C55CDA" w:rsidP="00C55CDA">
      <w:pPr>
        <w:shd w:val="clear" w:color="auto" w:fill="E4E8EC"/>
        <w:spacing w:after="150"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Participants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should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register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before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 </w:t>
      </w:r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15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>March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sk-SK"/>
        </w:rPr>
        <w:t xml:space="preserve"> 2025</w:t>
      </w:r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 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via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 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fldChar w:fldCharType="begin"/>
      </w:r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instrText xml:space="preserve"> HYPERLINK "https://oecd-nea.org/confdb/confdb/conf?id=956" </w:instrText>
      </w:r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fldChar w:fldCharType="separate"/>
      </w:r>
      <w:r w:rsidRPr="00C55CDA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registration</w:t>
      </w:r>
      <w:proofErr w:type="spellEnd"/>
      <w:r w:rsidRPr="00C55CDA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link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fldChar w:fldCharType="end"/>
      </w:r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.</w:t>
      </w:r>
    </w:p>
    <w:p w14:paraId="035A5C55" w14:textId="77777777" w:rsidR="00C55CDA" w:rsidRPr="00C55CDA" w:rsidRDefault="00C55CDA" w:rsidP="00C55CDA">
      <w:pPr>
        <w:shd w:val="clear" w:color="auto" w:fill="E4E8EC"/>
        <w:spacing w:line="240" w:lineRule="auto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lastRenderedPageBreak/>
        <w:t>You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can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choose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attend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workshop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virtually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via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Zoom.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If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you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plan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do so,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please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indicate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this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by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selecting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"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Virtual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attendance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"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during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your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online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registration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zoom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link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will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shared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with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you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before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C55CDA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event.</w:t>
      </w:r>
    </w:p>
    <w:p w14:paraId="14A35EEC" w14:textId="77777777" w:rsidR="00C55CDA" w:rsidRPr="00C55CDA" w:rsidRDefault="00C55CDA" w:rsidP="00C55CD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2844"/>
          <w:sz w:val="57"/>
          <w:szCs w:val="57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002844"/>
          <w:sz w:val="57"/>
          <w:szCs w:val="57"/>
          <w:lang w:eastAsia="sk-SK"/>
        </w:rPr>
        <w:t>When</w:t>
      </w:r>
      <w:proofErr w:type="spellEnd"/>
      <w:r w:rsidRPr="00C55CDA">
        <w:rPr>
          <w:rFonts w:ascii="Helvetica" w:eastAsia="Times New Roman" w:hAnsi="Helvetica" w:cs="Times New Roman"/>
          <w:color w:val="002844"/>
          <w:sz w:val="57"/>
          <w:szCs w:val="57"/>
          <w:lang w:eastAsia="sk-SK"/>
        </w:rPr>
        <w:t>?</w:t>
      </w:r>
    </w:p>
    <w:p w14:paraId="5A7D4333" w14:textId="77777777" w:rsidR="00C55CDA" w:rsidRPr="00C55CDA" w:rsidRDefault="00C55CDA" w:rsidP="00C55CD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868789"/>
          <w:sz w:val="24"/>
          <w:szCs w:val="24"/>
          <w:lang w:eastAsia="sk-SK"/>
        </w:rPr>
      </w:pPr>
      <w:r w:rsidRPr="00C55CDA">
        <w:rPr>
          <w:rFonts w:ascii="Helvetica" w:eastAsia="Times New Roman" w:hAnsi="Helvetica" w:cs="Times New Roman"/>
          <w:b/>
          <w:bCs/>
          <w:color w:val="868789"/>
          <w:sz w:val="24"/>
          <w:szCs w:val="24"/>
          <w:lang w:eastAsia="sk-SK"/>
        </w:rPr>
        <w:t xml:space="preserve">7 - 8 </w:t>
      </w:r>
      <w:proofErr w:type="spellStart"/>
      <w:r w:rsidRPr="00C55CDA">
        <w:rPr>
          <w:rFonts w:ascii="Helvetica" w:eastAsia="Times New Roman" w:hAnsi="Helvetica" w:cs="Times New Roman"/>
          <w:b/>
          <w:bCs/>
          <w:color w:val="868789"/>
          <w:sz w:val="24"/>
          <w:szCs w:val="24"/>
          <w:lang w:eastAsia="sk-SK"/>
        </w:rPr>
        <w:t>April</w:t>
      </w:r>
      <w:proofErr w:type="spellEnd"/>
      <w:r w:rsidRPr="00C55CDA">
        <w:rPr>
          <w:rFonts w:ascii="Helvetica" w:eastAsia="Times New Roman" w:hAnsi="Helvetica" w:cs="Times New Roman"/>
          <w:b/>
          <w:bCs/>
          <w:color w:val="868789"/>
          <w:sz w:val="24"/>
          <w:szCs w:val="24"/>
          <w:lang w:eastAsia="sk-SK"/>
        </w:rPr>
        <w:t xml:space="preserve"> 2025</w:t>
      </w:r>
    </w:p>
    <w:p w14:paraId="1287CF9A" w14:textId="77777777" w:rsidR="00C55CDA" w:rsidRPr="00C55CDA" w:rsidRDefault="00C55CDA" w:rsidP="00C55CD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</w:pPr>
      <w:proofErr w:type="spellStart"/>
      <w:r w:rsidRPr="00C55CDA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Maison</w:t>
      </w:r>
      <w:proofErr w:type="spellEnd"/>
      <w:r w:rsidRPr="00C55CDA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Irène</w:t>
      </w:r>
      <w:proofErr w:type="spellEnd"/>
      <w:r w:rsidRPr="00C55CDA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 et </w:t>
      </w:r>
      <w:proofErr w:type="spellStart"/>
      <w:r w:rsidRPr="00C55CDA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Frédéric</w:t>
      </w:r>
      <w:proofErr w:type="spellEnd"/>
      <w:r w:rsidRPr="00C55CDA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 </w:t>
      </w:r>
      <w:proofErr w:type="spellStart"/>
      <w:r w:rsidRPr="00C55CDA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Joliot</w:t>
      </w:r>
      <w:proofErr w:type="spellEnd"/>
      <w:r w:rsidRPr="00C55CDA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-Curie, </w:t>
      </w:r>
      <w:proofErr w:type="spellStart"/>
      <w:r w:rsidRPr="00C55CDA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Brussels</w:t>
      </w:r>
      <w:proofErr w:type="spellEnd"/>
      <w:r w:rsidRPr="00C55CDA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, </w:t>
      </w:r>
      <w:proofErr w:type="spellStart"/>
      <w:r w:rsidRPr="00C55CDA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Belgium</w:t>
      </w:r>
      <w:proofErr w:type="spellEnd"/>
    </w:p>
    <w:p w14:paraId="7F33F2C6" w14:textId="77777777" w:rsidR="00C55CDA" w:rsidRPr="00C55CDA" w:rsidRDefault="00C55CDA" w:rsidP="00C55CD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2844"/>
          <w:sz w:val="57"/>
          <w:szCs w:val="57"/>
          <w:lang w:eastAsia="sk-SK"/>
        </w:rPr>
      </w:pPr>
      <w:r w:rsidRPr="00C55CDA">
        <w:rPr>
          <w:rFonts w:ascii="Helvetica" w:eastAsia="Times New Roman" w:hAnsi="Helvetica" w:cs="Times New Roman"/>
          <w:color w:val="002844"/>
          <w:sz w:val="57"/>
          <w:szCs w:val="57"/>
          <w:lang w:eastAsia="sk-SK"/>
        </w:rPr>
        <w:t>Email</w:t>
      </w:r>
    </w:p>
    <w:p w14:paraId="06F5A01A" w14:textId="21102A26" w:rsidR="00C55CDA" w:rsidRPr="00C55CDA" w:rsidRDefault="00C55CDA" w:rsidP="00C55CD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</w:pPr>
      <w:hyperlink r:id="rId6" w:history="1">
        <w:r w:rsidRPr="00C55CDA">
          <w:rPr>
            <w:rFonts w:ascii="Helvetica" w:eastAsia="Times New Roman" w:hAnsi="Helvetica" w:cs="Times New Roman"/>
            <w:noProof/>
            <w:color w:val="005DB4"/>
            <w:sz w:val="21"/>
            <w:szCs w:val="21"/>
            <w:lang w:eastAsia="sk-SK"/>
          </w:rPr>
          <mc:AlternateContent>
            <mc:Choice Requires="wps">
              <w:drawing>
                <wp:inline distT="0" distB="0" distL="0" distR="0" wp14:anchorId="0D3960C4" wp14:editId="199C6D0C">
                  <wp:extent cx="304800" cy="304800"/>
                  <wp:effectExtent l="0" t="0" r="0" b="0"/>
                  <wp:docPr id="4" name="Obdĺžnik 4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39D5C1DF" id="Obdĺžnik 4" o:spid="_x0000_s1026" href="mailto:2025-WGHOF-Workshop@oecd-nea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C55CDA">
          <w:rPr>
            <w:rFonts w:ascii="Helvetica" w:eastAsia="Times New Roman" w:hAnsi="Helvetica" w:cs="Times New Roman"/>
            <w:color w:val="005DB4"/>
            <w:sz w:val="21"/>
            <w:szCs w:val="21"/>
            <w:u w:val="single"/>
            <w:lang w:eastAsia="sk-SK"/>
          </w:rPr>
          <w:t>2025-WGHOF-Workshop@oecd-nea.org</w:t>
        </w:r>
      </w:hyperlink>
    </w:p>
    <w:p w14:paraId="180BB6D3" w14:textId="6D3C261B" w:rsidR="00C55CDA" w:rsidRPr="00C55CDA" w:rsidRDefault="00C55CDA" w:rsidP="00C55CD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</w:pPr>
      <w:hyperlink r:id="rId7" w:history="1">
        <w:r w:rsidRPr="00C55CDA">
          <w:rPr>
            <w:rFonts w:ascii="Helvetica" w:eastAsia="Times New Roman" w:hAnsi="Helvetica" w:cs="Times New Roman"/>
            <w:noProof/>
            <w:color w:val="005DB4"/>
            <w:sz w:val="21"/>
            <w:szCs w:val="21"/>
            <w:lang w:eastAsia="sk-SK"/>
          </w:rPr>
          <mc:AlternateContent>
            <mc:Choice Requires="wps">
              <w:drawing>
                <wp:inline distT="0" distB="0" distL="0" distR="0" wp14:anchorId="6D41E963" wp14:editId="7335AD09">
                  <wp:extent cx="304800" cy="304800"/>
                  <wp:effectExtent l="0" t="0" r="0" b="0"/>
                  <wp:docPr id="3" name="Obdĺžnik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7FA5E1DE" id="Obdĺžnik 3" o:spid="_x0000_s1026" href="mailto:tamara.yankovich@oecd-nea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C55CDA">
          <w:rPr>
            <w:rFonts w:ascii="Helvetica" w:eastAsia="Times New Roman" w:hAnsi="Helvetica" w:cs="Times New Roman"/>
            <w:color w:val="005DB4"/>
            <w:sz w:val="21"/>
            <w:szCs w:val="21"/>
            <w:u w:val="single"/>
            <w:lang w:eastAsia="sk-SK"/>
          </w:rPr>
          <w:t>tamara.yankovich@oecd-nea.org</w:t>
        </w:r>
      </w:hyperlink>
    </w:p>
    <w:p w14:paraId="07541D81" w14:textId="77777777" w:rsidR="00561ED0" w:rsidRDefault="00561ED0"/>
    <w:sectPr w:rsidR="0056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74"/>
    <w:rsid w:val="00561ED0"/>
    <w:rsid w:val="00C55CDA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10105-AA67-475A-8EA3-AD62D8FB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C55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C55CD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55CDA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5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55CDA"/>
    <w:rPr>
      <w:b/>
      <w:bCs/>
    </w:rPr>
  </w:style>
  <w:style w:type="character" w:styleId="Zvraznenie">
    <w:name w:val="Emphasis"/>
    <w:basedOn w:val="Predvolenpsmoodseku"/>
    <w:uiPriority w:val="20"/>
    <w:qFormat/>
    <w:rsid w:val="00C55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57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7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94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502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5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0373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9699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1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108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mara.yankovich@oecd-ne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25-WGHOF-Workshop@oecd-nea.org" TargetMode="External"/><Relationship Id="rId5" Type="http://schemas.openxmlformats.org/officeDocument/2006/relationships/hyperlink" Target="https://oecd-nea.org/upload/docs/application/pdf/2025-02/wghof_workshop_1_page_programme_1.pdf" TargetMode="External"/><Relationship Id="rId4" Type="http://schemas.openxmlformats.org/officeDocument/2006/relationships/hyperlink" Target="https://www.oecd-nea.org/confdb/confdb/conf?id=95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Makovnik</dc:creator>
  <cp:keywords/>
  <dc:description/>
  <cp:lastModifiedBy>Michal Makovnik</cp:lastModifiedBy>
  <cp:revision>2</cp:revision>
  <dcterms:created xsi:type="dcterms:W3CDTF">2025-03-05T13:10:00Z</dcterms:created>
  <dcterms:modified xsi:type="dcterms:W3CDTF">2025-03-05T13:11:00Z</dcterms:modified>
</cp:coreProperties>
</file>