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4EEB" w14:textId="50A90F05" w:rsidR="00A21E9C" w:rsidRDefault="00A21E9C" w:rsidP="00A21E9C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Third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International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School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Simulation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Systems (SINUS)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a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focus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light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water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reactors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,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including</w:t>
      </w:r>
      <w:proofErr w:type="spellEnd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SMRs</w:t>
      </w:r>
      <w:proofErr w:type="spellEnd"/>
    </w:p>
    <w:p w14:paraId="22F425C1" w14:textId="77777777" w:rsidR="00A21E9C" w:rsidRPr="00A21E9C" w:rsidRDefault="00A21E9C" w:rsidP="00A21E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When</w:t>
      </w:r>
      <w:proofErr w:type="spellEnd"/>
      <w:r w:rsidRPr="00A21E9C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?</w:t>
      </w:r>
    </w:p>
    <w:p w14:paraId="0B5911A4" w14:textId="77777777" w:rsidR="00A21E9C" w:rsidRPr="00A21E9C" w:rsidRDefault="00A21E9C" w:rsidP="00A21E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</w:pPr>
      <w:r w:rsidRPr="00A21E9C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 xml:space="preserve">5 May 2025 - 2 </w:t>
      </w:r>
      <w:proofErr w:type="spellStart"/>
      <w:r w:rsidRPr="00A21E9C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>July</w:t>
      </w:r>
      <w:proofErr w:type="spellEnd"/>
      <w:r w:rsidRPr="00A21E9C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 xml:space="preserve"> 2025</w:t>
      </w:r>
    </w:p>
    <w:p w14:paraId="730680B7" w14:textId="77777777" w:rsidR="00A21E9C" w:rsidRPr="00A21E9C" w:rsidRDefault="00A21E9C" w:rsidP="00A21E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Online </w:t>
      </w:r>
      <w:proofErr w:type="spellStart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 &amp; in-person event on 30 </w:t>
      </w:r>
      <w:proofErr w:type="spellStart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June</w:t>
      </w:r>
      <w:proofErr w:type="spellEnd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 - 2 </w:t>
      </w:r>
      <w:proofErr w:type="spellStart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July</w:t>
      </w:r>
      <w:proofErr w:type="spellEnd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 2025 at </w:t>
      </w:r>
      <w:proofErr w:type="spellStart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University</w:t>
      </w:r>
      <w:proofErr w:type="spellEnd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, UK</w:t>
      </w:r>
    </w:p>
    <w:p w14:paraId="5B84D8E6" w14:textId="77777777" w:rsidR="00A21E9C" w:rsidRPr="00A21E9C" w:rsidRDefault="00A21E9C" w:rsidP="00A21E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Contact</w:t>
      </w:r>
      <w:proofErr w:type="spellEnd"/>
    </w:p>
    <w:p w14:paraId="1281E977" w14:textId="77777777" w:rsidR="00A21E9C" w:rsidRPr="00A21E9C" w:rsidRDefault="00A21E9C" w:rsidP="00A21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WPRS </w:t>
      </w:r>
      <w:proofErr w:type="spellStart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Secretariat</w:t>
      </w:r>
      <w:proofErr w:type="spellEnd"/>
      <w:r w:rsidRPr="00A21E9C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: </w:t>
      </w:r>
      <w:hyperlink r:id="rId5" w:history="1">
        <w:r w:rsidRPr="00A21E9C">
          <w:rPr>
            <w:rFonts w:ascii="Helvetica" w:eastAsia="Times New Roman" w:hAnsi="Helvetica" w:cs="Helvetica"/>
            <w:color w:val="005DB4"/>
            <w:sz w:val="24"/>
            <w:szCs w:val="24"/>
            <w:u w:val="single"/>
            <w:lang w:eastAsia="sk-SK"/>
          </w:rPr>
          <w:t>Oliver BUSS</w:t>
        </w:r>
      </w:hyperlink>
    </w:p>
    <w:p w14:paraId="1CE64204" w14:textId="77777777" w:rsidR="00A21E9C" w:rsidRPr="00A21E9C" w:rsidRDefault="00A21E9C" w:rsidP="00A21E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r w:rsidRPr="00A21E9C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Email</w:t>
      </w:r>
    </w:p>
    <w:p w14:paraId="487F4761" w14:textId="4970F8C7" w:rsidR="00A21E9C" w:rsidRPr="00A21E9C" w:rsidRDefault="00A21E9C" w:rsidP="00A21E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hyperlink r:id="rId6" w:history="1">
        <w:r w:rsidRPr="00A21E9C">
          <w:rPr>
            <w:rFonts w:ascii="Helvetica" w:eastAsia="Times New Roman" w:hAnsi="Helvetica" w:cs="Helvetica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64D38DCF" wp14:editId="524C0537">
                  <wp:extent cx="304800" cy="304800"/>
                  <wp:effectExtent l="0" t="0" r="0" b="0"/>
                  <wp:docPr id="2" name="Obdĺžnik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0BAC92B" id="Obdĺžnik 2" o:spid="_x0000_s1026" href="mailto:wprs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A21E9C">
          <w:rPr>
            <w:rFonts w:ascii="Helvetica" w:eastAsia="Times New Roman" w:hAnsi="Helvetica" w:cs="Helvetica"/>
            <w:color w:val="005DB4"/>
            <w:sz w:val="21"/>
            <w:szCs w:val="21"/>
            <w:u w:val="single"/>
            <w:lang w:eastAsia="sk-SK"/>
          </w:rPr>
          <w:t>wprs@oecd-nea.org</w:t>
        </w:r>
      </w:hyperlink>
    </w:p>
    <w:p w14:paraId="00B216ED" w14:textId="77777777" w:rsidR="00A21E9C" w:rsidRPr="00A21E9C" w:rsidRDefault="00A21E9C" w:rsidP="00A21E9C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</w:pPr>
    </w:p>
    <w:p w14:paraId="10F85F1F" w14:textId="46FCD76F" w:rsidR="00A21E9C" w:rsidRPr="00A21E9C" w:rsidRDefault="00A21E9C" w:rsidP="00A21E9C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A21E9C">
        <w:rPr>
          <w:rFonts w:ascii="Helvetica" w:eastAsia="Times New Roman" w:hAnsi="Helvetica" w:cs="Helvetica"/>
          <w:noProof/>
          <w:color w:val="333333"/>
          <w:sz w:val="21"/>
          <w:szCs w:val="21"/>
          <w:lang w:eastAsia="sk-SK"/>
        </w:rPr>
        <mc:AlternateContent>
          <mc:Choice Requires="wps">
            <w:drawing>
              <wp:inline distT="0" distB="0" distL="0" distR="0" wp14:anchorId="70FD5023" wp14:editId="47BA091F">
                <wp:extent cx="304800" cy="304800"/>
                <wp:effectExtent l="0" t="0" r="0" b="0"/>
                <wp:docPr id="1" name="Obdĺžn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DC541" id="Obdĺžni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/dy8m/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2365E242" w14:textId="77777777" w:rsidR="00A21E9C" w:rsidRPr="00A21E9C" w:rsidRDefault="00A21E9C" w:rsidP="00A21E9C">
      <w:pPr>
        <w:shd w:val="clear" w:color="auto" w:fill="5C7FC2"/>
        <w:spacing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sk-SK"/>
        </w:rPr>
      </w:pPr>
      <w:hyperlink r:id="rId7" w:tgtFrame="_blank" w:history="1">
        <w:r w:rsidRPr="00A21E9C">
          <w:rPr>
            <w:rFonts w:ascii="Helvetica" w:eastAsia="Times New Roman" w:hAnsi="Helvetica" w:cs="Helvetica"/>
            <w:color w:val="FFFFFF"/>
            <w:sz w:val="30"/>
            <w:szCs w:val="30"/>
            <w:lang w:eastAsia="sk-SK"/>
          </w:rPr>
          <w:t xml:space="preserve">Register </w:t>
        </w:r>
        <w:proofErr w:type="spellStart"/>
        <w:r w:rsidRPr="00A21E9C">
          <w:rPr>
            <w:rFonts w:ascii="Helvetica" w:eastAsia="Times New Roman" w:hAnsi="Helvetica" w:cs="Helvetica"/>
            <w:color w:val="FFFFFF"/>
            <w:sz w:val="30"/>
            <w:szCs w:val="30"/>
            <w:lang w:eastAsia="sk-SK"/>
          </w:rPr>
          <w:t>for</w:t>
        </w:r>
        <w:proofErr w:type="spellEnd"/>
        <w:r w:rsidRPr="00A21E9C">
          <w:rPr>
            <w:rFonts w:ascii="Helvetica" w:eastAsia="Times New Roman" w:hAnsi="Helvetica" w:cs="Helvetica"/>
            <w:color w:val="FFFFFF"/>
            <w:sz w:val="30"/>
            <w:szCs w:val="30"/>
            <w:lang w:eastAsia="sk-SK"/>
          </w:rPr>
          <w:t xml:space="preserve"> </w:t>
        </w:r>
        <w:proofErr w:type="spellStart"/>
        <w:r w:rsidRPr="00A21E9C">
          <w:rPr>
            <w:rFonts w:ascii="Helvetica" w:eastAsia="Times New Roman" w:hAnsi="Helvetica" w:cs="Helvetica"/>
            <w:color w:val="FFFFFF"/>
            <w:sz w:val="30"/>
            <w:szCs w:val="30"/>
            <w:lang w:eastAsia="sk-SK"/>
          </w:rPr>
          <w:t>the</w:t>
        </w:r>
        <w:proofErr w:type="spellEnd"/>
        <w:r w:rsidRPr="00A21E9C">
          <w:rPr>
            <w:rFonts w:ascii="Helvetica" w:eastAsia="Times New Roman" w:hAnsi="Helvetica" w:cs="Helvetica"/>
            <w:color w:val="FFFFFF"/>
            <w:sz w:val="30"/>
            <w:szCs w:val="30"/>
            <w:lang w:eastAsia="sk-SK"/>
          </w:rPr>
          <w:t xml:space="preserve"> event</w:t>
        </w:r>
      </w:hyperlink>
    </w:p>
    <w:p w14:paraId="16A5C815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Overview</w:t>
      </w:r>
      <w:proofErr w:type="spellEnd"/>
    </w:p>
    <w:p w14:paraId="70F999C1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organise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third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8" w:tooltip="International School on Simulation of Nuclear Reactor Systems (SINUS)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International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School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on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Simulation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of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Nuclear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Reactor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Systems (SINUS)</w:t>
        </w:r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topic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</w:t>
      </w:r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 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single- and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multi-physics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simulations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based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Light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Water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(LWR)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Uncertainty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Analysis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in Modeling (UAM) benchmark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a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focus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light-water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small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modular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reactors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(LW-</w:t>
      </w:r>
      <w:proofErr w:type="spellStart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SMRs</w:t>
      </w:r>
      <w:proofErr w:type="spellEnd"/>
      <w:r w:rsidRPr="00A21E9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).</w:t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Targeting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students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young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professionals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, 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brings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together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next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generation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expert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community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 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begin"/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instrText xml:space="preserve"> HYPERLINK "https://www.oecd-nea.org/jcms/c_12832/working-party-on-scientific-issues-and-uncertainty-analysis-of-reactor-systems-wprs" \o "Working Party on Scientific Issues and Uncertainty Analysis of Reactor Systems (WPRS)" </w:instrText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separate"/>
      </w:r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>Working</w:t>
      </w:r>
      <w:proofErr w:type="spellEnd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 xml:space="preserve"> Party on </w:t>
      </w:r>
      <w:proofErr w:type="spellStart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>Scientific</w:t>
      </w:r>
      <w:proofErr w:type="spellEnd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>Issues</w:t>
      </w:r>
      <w:proofErr w:type="spellEnd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>Uncertainty</w:t>
      </w:r>
      <w:proofErr w:type="spellEnd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>Analysis</w:t>
      </w:r>
      <w:proofErr w:type="spellEnd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005DB4"/>
          <w:sz w:val="27"/>
          <w:szCs w:val="27"/>
          <w:lang w:eastAsia="sk-SK"/>
        </w:rPr>
        <w:t xml:space="preserve"> Systems (WPRS)</w:t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end"/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328C6FEF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event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jointly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developed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North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Carolina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State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(NCSU),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Safety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Information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Computational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Center (RSICC) at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Oak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National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Laboratory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WPRS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support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>Commissariat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à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l'énergie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atomique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et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aux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énergies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alternatives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(CEA).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in-person part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co-located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9" w:tooltip="WPRS Benchmarks Workshops 2025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WPRS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Benchmarks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Workshops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2025</w:t>
        </w:r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hosted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United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Kingdom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50AEF02D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technical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content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10" w:tooltip="LWR UAM benchmark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LWR UAM benchmark</w:t>
        </w:r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follows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specifications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benchmark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benchmark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exercises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three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phases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benchmark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additional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exercises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LWR-SMR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academic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concept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</w:t>
      </w:r>
      <w:hyperlink r:id="rId11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PRATIC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core</w:t>
        </w:r>
        <w:proofErr w:type="spellEnd"/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).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scope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quantifying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propagating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relevant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significant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uncertainties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through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different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single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multi-physics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modeling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simulation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cores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using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Pressurised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Water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test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6240CBB5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exercises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state-of-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-art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simulation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packages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which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Data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Bank and RSICC. </w:t>
      </w:r>
    </w:p>
    <w:p w14:paraId="6AD3C507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features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lectures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NCSU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faculty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members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support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CEA, as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well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internationally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renowned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WPRS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expert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groups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SINUS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takes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place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a hybrid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format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593A9B6C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SINUS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opportunity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develop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multinational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network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fellow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international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to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learn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more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about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this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challenging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innovative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subject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 </w:t>
      </w:r>
    </w:p>
    <w:p w14:paraId="38695E12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Course</w:t>
      </w:r>
      <w:proofErr w:type="spellEnd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content</w:t>
      </w:r>
      <w:proofErr w:type="spellEnd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timeline</w:t>
      </w:r>
      <w:proofErr w:type="spellEnd"/>
    </w:p>
    <w:p w14:paraId="3D4A983B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SINUS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consists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remote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in-person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</w:t>
      </w:r>
    </w:p>
    <w:p w14:paraId="71BED20B" w14:textId="77777777" w:rsidR="00A21E9C" w:rsidRPr="00A21E9C" w:rsidRDefault="00A21E9C" w:rsidP="00A21E9C">
      <w:pPr>
        <w:pBdr>
          <w:bottom w:val="dotted" w:sz="6" w:space="1" w:color="E1E1E1"/>
        </w:pBdr>
        <w:shd w:val="clear" w:color="auto" w:fill="E4E8EC"/>
        <w:spacing w:before="240" w:after="24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</w:pPr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 xml:space="preserve">5 May - 30 May 2025: </w:t>
      </w:r>
      <w:proofErr w:type="spellStart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>Remote</w:t>
      </w:r>
      <w:proofErr w:type="spellEnd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 xml:space="preserve"> </w:t>
      </w:r>
      <w:proofErr w:type="spellStart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>training</w:t>
      </w:r>
      <w:proofErr w:type="spellEnd"/>
    </w:p>
    <w:p w14:paraId="408CDC31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remote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approximately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40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hours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remote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lectures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exercise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exercises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examples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taken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Benchmark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LWR-UAM of WPRS and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PRATIC SMR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academic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concept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focus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quantifying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propagating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relevant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significant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uncertainties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through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different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single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multi-physics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modelling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simulation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cores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using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PWR test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features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homework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assignments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computer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projects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participant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teams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completed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presented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during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in-person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76E828BA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Five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virtual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</w:t>
      </w:r>
    </w:p>
    <w:p w14:paraId="436F5B1C" w14:textId="77777777" w:rsidR="00A21E9C" w:rsidRPr="00A21E9C" w:rsidRDefault="00A21E9C" w:rsidP="00A21E9C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1: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Multi-scale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  </w:t>
      </w:r>
    </w:p>
    <w:p w14:paraId="22071E9C" w14:textId="77777777" w:rsidR="00A21E9C" w:rsidRPr="00A21E9C" w:rsidRDefault="00A21E9C" w:rsidP="00A21E9C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2: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Fuel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modelling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                         </w:t>
      </w:r>
    </w:p>
    <w:p w14:paraId="062E0D8F" w14:textId="77777777" w:rsidR="00A21E9C" w:rsidRPr="00A21E9C" w:rsidRDefault="00A21E9C" w:rsidP="00A21E9C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3: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Time-dependent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neutronics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</w:p>
    <w:p w14:paraId="2FCAD3FC" w14:textId="77777777" w:rsidR="00A21E9C" w:rsidRPr="00A21E9C" w:rsidRDefault="00A21E9C" w:rsidP="00A21E9C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4: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Bundle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thermal-hydraulics</w:t>
      </w:r>
      <w:proofErr w:type="spellEnd"/>
    </w:p>
    <w:p w14:paraId="13332465" w14:textId="77777777" w:rsidR="00A21E9C" w:rsidRPr="00A21E9C" w:rsidRDefault="00A21E9C" w:rsidP="00A21E9C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>Session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5: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Core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multi-physics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    </w:t>
      </w:r>
    </w:p>
    <w:p w14:paraId="2C07F2DC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</w:p>
    <w:p w14:paraId="47FCB64A" w14:textId="77777777" w:rsidR="00A21E9C" w:rsidRPr="00A21E9C" w:rsidRDefault="00A21E9C" w:rsidP="00A21E9C">
      <w:pPr>
        <w:pBdr>
          <w:bottom w:val="dotted" w:sz="6" w:space="1" w:color="E1E1E1"/>
        </w:pBdr>
        <w:shd w:val="clear" w:color="auto" w:fill="E4E8EC"/>
        <w:spacing w:before="240" w:after="24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</w:pPr>
      <w:proofErr w:type="spellStart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>June</w:t>
      </w:r>
      <w:proofErr w:type="spellEnd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 xml:space="preserve"> 2025</w:t>
      </w:r>
    </w:p>
    <w:p w14:paraId="44EA22F4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receive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project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assigments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which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application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simulation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packages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Results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project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work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presented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during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in-person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meeting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United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Kingdom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654BBDF5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</w:p>
    <w:p w14:paraId="25C35F9C" w14:textId="77777777" w:rsidR="00A21E9C" w:rsidRPr="00A21E9C" w:rsidRDefault="00A21E9C" w:rsidP="00A21E9C">
      <w:pPr>
        <w:pBdr>
          <w:bottom w:val="dotted" w:sz="6" w:space="1" w:color="E1E1E1"/>
        </w:pBdr>
        <w:shd w:val="clear" w:color="auto" w:fill="E4E8EC"/>
        <w:spacing w:before="240" w:after="24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</w:pPr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 xml:space="preserve">30 </w:t>
      </w:r>
      <w:proofErr w:type="spellStart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>June</w:t>
      </w:r>
      <w:proofErr w:type="spellEnd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 xml:space="preserve"> - 2 </w:t>
      </w:r>
      <w:proofErr w:type="spellStart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>July</w:t>
      </w:r>
      <w:proofErr w:type="spellEnd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 xml:space="preserve"> 2025: In-person </w:t>
      </w:r>
      <w:proofErr w:type="spellStart"/>
      <w:r w:rsidRPr="00A21E9C">
        <w:rPr>
          <w:rFonts w:ascii="inherit" w:eastAsia="Times New Roman" w:hAnsi="inherit" w:cs="Helvetica"/>
          <w:color w:val="333333"/>
          <w:sz w:val="36"/>
          <w:szCs w:val="36"/>
          <w:lang w:eastAsia="sk-SK"/>
        </w:rPr>
        <w:t>training</w:t>
      </w:r>
      <w:proofErr w:type="spellEnd"/>
    </w:p>
    <w:p w14:paraId="5337A3F6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organises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in-person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International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School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Simulation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Systems (SINUS) on 30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June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- 2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July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2025.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in-person part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co-located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12" w:tooltip="WPRS Benchmarks Workshops 2025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WPRS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Benchmarks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</w:t>
        </w:r>
        <w:proofErr w:type="spellStart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Workshops</w:t>
        </w:r>
        <w:proofErr w:type="spellEnd"/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 xml:space="preserve"> 2025</w:t>
        </w:r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hosted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United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Kingdom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1899E85D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Participation</w:t>
      </w:r>
      <w:proofErr w:type="spellEnd"/>
    </w:p>
    <w:p w14:paraId="63740303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free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charge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open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advanced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Master’s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PhD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students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or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young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professionals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Master’s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or PhD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degrees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engineering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related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disciplines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Requirements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</w:t>
      </w:r>
    </w:p>
    <w:p w14:paraId="74A47203" w14:textId="77777777" w:rsidR="00A21E9C" w:rsidRPr="00A21E9C" w:rsidRDefault="00A21E9C" w:rsidP="00A21E9C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Basic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knowledge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radiation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transport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63B6DAD1" w14:textId="77777777" w:rsidR="00A21E9C" w:rsidRPr="00A21E9C" w:rsidRDefault="00A21E9C" w:rsidP="00A21E9C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Basic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knowledge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numerical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mathematics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statistics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scientific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computing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78F57C55" w14:textId="77777777" w:rsidR="00A21E9C" w:rsidRPr="00A21E9C" w:rsidRDefault="00A21E9C" w:rsidP="00A21E9C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First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experience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numerical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simulation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software.</w:t>
      </w:r>
    </w:p>
    <w:p w14:paraId="7CAFC51B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eligibility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excellence,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considering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geographical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gender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balance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aspects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process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based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applicant's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motivation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letter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their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educational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track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records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7E29A34D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proposed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committee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students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includes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high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-level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field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Chair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WPRS,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Chairs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Expert Group on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Multiphysics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(EGMUP),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Head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Division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Science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Education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selection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process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supported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Secretariat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1E6AC2FA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Organisation</w:t>
      </w:r>
      <w:proofErr w:type="spellEnd"/>
    </w:p>
    <w:p w14:paraId="00C6A9FF" w14:textId="77777777" w:rsidR="00A21E9C" w:rsidRPr="00A21E9C" w:rsidRDefault="00A21E9C" w:rsidP="00A21E9C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material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development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co-ordinated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by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13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NCSU</w:t>
        </w:r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support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14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CEA</w:t>
        </w:r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15" w:history="1">
        <w:r w:rsidRPr="00A21E9C">
          <w:rPr>
            <w:rFonts w:ascii="Helvetica" w:eastAsia="Times New Roman" w:hAnsi="Helvetica" w:cs="Helvetica"/>
            <w:color w:val="005DB4"/>
            <w:sz w:val="27"/>
            <w:szCs w:val="27"/>
            <w:lang w:eastAsia="sk-SK"/>
          </w:rPr>
          <w:t>RSICC</w:t>
        </w:r>
      </w:hyperlink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Data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Bank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support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distribution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 xml:space="preserve">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required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software. 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University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host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in-person event in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Cambridge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United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Kingdom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</w:t>
      </w:r>
    </w:p>
    <w:p w14:paraId="60743F73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Training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material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distributed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a 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begin"/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instrText xml:space="preserve"> HYPERLINK "https://mynea.oecd-nea.org/sites/WPRS/education/sinus2025" </w:instrText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separate"/>
      </w:r>
      <w:r w:rsidRPr="00A21E9C">
        <w:rPr>
          <w:rFonts w:ascii="Helvetica" w:eastAsia="Times New Roman" w:hAnsi="Helvetica" w:cs="Helvetica"/>
          <w:color w:val="FFFFFF"/>
          <w:sz w:val="24"/>
          <w:szCs w:val="24"/>
          <w:bdr w:val="none" w:sz="0" w:space="0" w:color="auto" w:frame="1"/>
          <w:lang w:eastAsia="sk-SK"/>
        </w:rPr>
        <w:t>MyNEA</w:t>
      </w:r>
      <w:proofErr w:type="spellEnd"/>
      <w:r w:rsidRPr="00A21E9C">
        <w:rPr>
          <w:rFonts w:ascii="Helvetica" w:eastAsia="Times New Roman" w:hAnsi="Helvetica" w:cs="Helvetica"/>
          <w:color w:val="FFFFFF"/>
          <w:sz w:val="24"/>
          <w:szCs w:val="24"/>
          <w:bdr w:val="none" w:sz="0" w:space="0" w:color="auto" w:frame="1"/>
          <w:lang w:eastAsia="sk-SK"/>
        </w:rPr>
        <w:t xml:space="preserve"> SharePoint </w:t>
      </w:r>
      <w:proofErr w:type="spellStart"/>
      <w:r w:rsidRPr="00A21E9C">
        <w:rPr>
          <w:rFonts w:ascii="Helvetica" w:eastAsia="Times New Roman" w:hAnsi="Helvetica" w:cs="Helvetica"/>
          <w:color w:val="FFFFFF"/>
          <w:sz w:val="24"/>
          <w:szCs w:val="24"/>
          <w:bdr w:val="none" w:sz="0" w:space="0" w:color="auto" w:frame="1"/>
          <w:lang w:eastAsia="sk-SK"/>
        </w:rPr>
        <w:t>Page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end"/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(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access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only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lecturers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).</w:t>
      </w:r>
    </w:p>
    <w:p w14:paraId="66B3183C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Registration</w:t>
      </w:r>
      <w:proofErr w:type="spellEnd"/>
    </w:p>
    <w:p w14:paraId="7FB5ABF5" w14:textId="77777777" w:rsidR="00A21E9C" w:rsidRPr="00A21E9C" w:rsidRDefault="00A21E9C" w:rsidP="00A21E9C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Application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deadline</w:t>
      </w:r>
      <w:proofErr w:type="spellEnd"/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 </w:t>
      </w:r>
      <w:r w:rsidRPr="00A21E9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9 </w:t>
      </w:r>
      <w:proofErr w:type="spellStart"/>
      <w:r w:rsidRPr="00A21E9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March</w:t>
      </w:r>
      <w:proofErr w:type="spellEnd"/>
      <w:r w:rsidRPr="00A21E9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2025 </w:t>
      </w:r>
      <w:r w:rsidRPr="00A21E9C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 </w:t>
      </w:r>
      <w:hyperlink r:id="rId16" w:history="1">
        <w:r w:rsidRPr="00A21E9C">
          <w:rPr>
            <w:rFonts w:ascii="Helvetica" w:eastAsia="Times New Roman" w:hAnsi="Helvetica" w:cs="Helvetica"/>
            <w:color w:val="FFFFFF"/>
            <w:sz w:val="24"/>
            <w:szCs w:val="24"/>
            <w:bdr w:val="none" w:sz="0" w:space="0" w:color="auto" w:frame="1"/>
            <w:lang w:eastAsia="sk-SK"/>
          </w:rPr>
          <w:t xml:space="preserve">Register </w:t>
        </w:r>
        <w:proofErr w:type="spellStart"/>
        <w:r w:rsidRPr="00A21E9C">
          <w:rPr>
            <w:rFonts w:ascii="Helvetica" w:eastAsia="Times New Roman" w:hAnsi="Helvetica" w:cs="Helvetica"/>
            <w:color w:val="FFFFFF"/>
            <w:sz w:val="24"/>
            <w:szCs w:val="24"/>
            <w:bdr w:val="none" w:sz="0" w:space="0" w:color="auto" w:frame="1"/>
            <w:lang w:eastAsia="sk-SK"/>
          </w:rPr>
          <w:t>for</w:t>
        </w:r>
        <w:proofErr w:type="spellEnd"/>
        <w:r w:rsidRPr="00A21E9C">
          <w:rPr>
            <w:rFonts w:ascii="Helvetica" w:eastAsia="Times New Roman" w:hAnsi="Helvetica" w:cs="Helvetica"/>
            <w:color w:val="FFFFFF"/>
            <w:sz w:val="24"/>
            <w:szCs w:val="24"/>
            <w:bdr w:val="none" w:sz="0" w:space="0" w:color="auto" w:frame="1"/>
            <w:lang w:eastAsia="sk-SK"/>
          </w:rPr>
          <w:t xml:space="preserve"> SINUS 2025</w:t>
        </w:r>
      </w:hyperlink>
    </w:p>
    <w:p w14:paraId="268E0B70" w14:textId="77777777" w:rsidR="0073398E" w:rsidRDefault="0073398E"/>
    <w:sectPr w:rsidR="0073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0BD2"/>
    <w:multiLevelType w:val="multilevel"/>
    <w:tmpl w:val="5A3C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720C1"/>
    <w:multiLevelType w:val="multilevel"/>
    <w:tmpl w:val="A38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9C"/>
    <w:rsid w:val="0073398E"/>
    <w:rsid w:val="00A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2A40"/>
  <w15:chartTrackingRefBased/>
  <w15:docId w15:val="{0A255349-04D8-4F26-AD9D-38B93C3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A21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21E9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21E9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2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21E9C"/>
    <w:rPr>
      <w:i/>
      <w:iCs/>
    </w:rPr>
  </w:style>
  <w:style w:type="character" w:customStyle="1" w:styleId="ui-provider">
    <w:name w:val="ui-provider"/>
    <w:basedOn w:val="Predvolenpsmoodseku"/>
    <w:rsid w:val="00A21E9C"/>
  </w:style>
  <w:style w:type="character" w:styleId="Vrazn">
    <w:name w:val="Strong"/>
    <w:basedOn w:val="Predvolenpsmoodseku"/>
    <w:uiPriority w:val="22"/>
    <w:qFormat/>
    <w:rsid w:val="00A2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80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9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6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82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708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0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05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2243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55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90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0723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0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49025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6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23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-nea.org/jcms/pl_88778/international-school-on-simulation-of-nuclear-reactor-systems-sinus" TargetMode="External"/><Relationship Id="rId13" Type="http://schemas.openxmlformats.org/officeDocument/2006/relationships/hyperlink" Target="https://www.ncsu.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ecd-nea.org/confdb/confdb/confform?id=1046" TargetMode="External"/><Relationship Id="rId12" Type="http://schemas.openxmlformats.org/officeDocument/2006/relationships/hyperlink" Target="https://www.oecd-nea.org/jcms/pl_98752/wprs-benchmarks-workshops-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ecd-nea.org/confdb/confdb/confform?id=104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prs@oecd-nea.org" TargetMode="External"/><Relationship Id="rId11" Type="http://schemas.openxmlformats.org/officeDocument/2006/relationships/hyperlink" Target="https://www.epj-n.org/articles/epjn/pdf/2024/01/epjn20240027.pdf" TargetMode="External"/><Relationship Id="rId5" Type="http://schemas.openxmlformats.org/officeDocument/2006/relationships/hyperlink" Target="mailto:wprs@oecd-nea.org" TargetMode="External"/><Relationship Id="rId15" Type="http://schemas.openxmlformats.org/officeDocument/2006/relationships/hyperlink" Target="https://www.ornl.gov/onramp/rsicc" TargetMode="External"/><Relationship Id="rId10" Type="http://schemas.openxmlformats.org/officeDocument/2006/relationships/hyperlink" Target="https://www.oecd-nea.org/jcms/pl_32175/benchmark-for-uncertainty-analysis-in-best-estimate-modelling-for-design-operation-and-safety-analysis-of-light-water-reactors-lwr-u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cd-nea.org/jcms/pl_98752/wprs-benchmarks-workshops-2025" TargetMode="External"/><Relationship Id="rId14" Type="http://schemas.openxmlformats.org/officeDocument/2006/relationships/hyperlink" Target="http://www.cea.fr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1</cp:revision>
  <dcterms:created xsi:type="dcterms:W3CDTF">2025-02-17T09:16:00Z</dcterms:created>
  <dcterms:modified xsi:type="dcterms:W3CDTF">2025-02-17T09:18:00Z</dcterms:modified>
</cp:coreProperties>
</file>