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3B34" w14:textId="31AC3D01" w:rsidR="002345DC" w:rsidRDefault="002345DC" w:rsidP="002345DC">
      <w:pPr>
        <w:shd w:val="clear" w:color="auto" w:fill="E4E8EC"/>
        <w:spacing w:after="0" w:line="240" w:lineRule="auto"/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Fourth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NEA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Stakeholder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Involvement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Workshop on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Optimisation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Making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: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From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Insight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  <w:t>Action</w:t>
      </w:r>
      <w:proofErr w:type="spellEnd"/>
    </w:p>
    <w:p w14:paraId="37AD2E26" w14:textId="09D03908" w:rsidR="00376B90" w:rsidRDefault="00376B90" w:rsidP="002345DC">
      <w:pPr>
        <w:shd w:val="clear" w:color="auto" w:fill="E4E8EC"/>
        <w:spacing w:after="0" w:line="240" w:lineRule="auto"/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</w:pPr>
    </w:p>
    <w:p w14:paraId="28E4EF90" w14:textId="77777777" w:rsidR="00376B90" w:rsidRPr="00376B90" w:rsidRDefault="00376B90" w:rsidP="00376B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</w:pPr>
      <w:proofErr w:type="spellStart"/>
      <w:r w:rsidRPr="00376B90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When</w:t>
      </w:r>
      <w:proofErr w:type="spellEnd"/>
      <w:r w:rsidRPr="00376B90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?</w:t>
      </w:r>
    </w:p>
    <w:p w14:paraId="71C72F2B" w14:textId="77777777" w:rsidR="00376B90" w:rsidRPr="00376B90" w:rsidRDefault="00376B90" w:rsidP="00376B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</w:pPr>
      <w:r w:rsidRPr="00376B90"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  <w:t xml:space="preserve">15 - 17 </w:t>
      </w:r>
      <w:proofErr w:type="spellStart"/>
      <w:r w:rsidRPr="00376B90"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  <w:t>October</w:t>
      </w:r>
      <w:proofErr w:type="spellEnd"/>
      <w:r w:rsidRPr="00376B90">
        <w:rPr>
          <w:rFonts w:ascii="Helvetica" w:eastAsia="Times New Roman" w:hAnsi="Helvetica" w:cs="Times New Roman"/>
          <w:b/>
          <w:bCs/>
          <w:color w:val="868789"/>
          <w:sz w:val="24"/>
          <w:szCs w:val="24"/>
          <w:lang w:eastAsia="sk-SK"/>
        </w:rPr>
        <w:t xml:space="preserve"> 2025</w:t>
      </w:r>
    </w:p>
    <w:p w14:paraId="016965E2" w14:textId="77777777" w:rsidR="00376B90" w:rsidRPr="00376B90" w:rsidRDefault="00376B90" w:rsidP="00376B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</w:pP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Radisson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Blu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Hotel,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Paris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Boulogne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, 31-33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Av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.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Edouard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Vaillant</w:t>
      </w:r>
      <w:proofErr w:type="spellEnd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, 92100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Boulogne-Billancourt</w:t>
      </w:r>
      <w:proofErr w:type="spellEnd"/>
    </w:p>
    <w:p w14:paraId="437639E3" w14:textId="77777777" w:rsidR="00376B90" w:rsidRPr="00376B90" w:rsidRDefault="00376B90" w:rsidP="00376B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</w:pPr>
      <w:proofErr w:type="spellStart"/>
      <w:r w:rsidRPr="00376B90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Contact</w:t>
      </w:r>
      <w:proofErr w:type="spellEnd"/>
    </w:p>
    <w:p w14:paraId="29978871" w14:textId="77777777" w:rsidR="00376B90" w:rsidRPr="00376B90" w:rsidRDefault="00376B90" w:rsidP="00376B9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</w:pPr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 xml:space="preserve">Tamara </w:t>
      </w:r>
      <w:proofErr w:type="spellStart"/>
      <w:r w:rsidRPr="00376B90"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  <w:t>Yankovich</w:t>
      </w:r>
      <w:proofErr w:type="spellEnd"/>
    </w:p>
    <w:p w14:paraId="355A273A" w14:textId="77777777" w:rsidR="00376B90" w:rsidRPr="00376B90" w:rsidRDefault="00376B90" w:rsidP="00376B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</w:pPr>
      <w:r w:rsidRPr="00376B90">
        <w:rPr>
          <w:rFonts w:ascii="Helvetica" w:eastAsia="Times New Roman" w:hAnsi="Helvetica" w:cs="Times New Roman"/>
          <w:color w:val="002844"/>
          <w:sz w:val="57"/>
          <w:szCs w:val="57"/>
          <w:lang w:eastAsia="sk-SK"/>
        </w:rPr>
        <w:t>Email</w:t>
      </w:r>
    </w:p>
    <w:p w14:paraId="5E9F9D2E" w14:textId="3A5A3A96" w:rsidR="00376B90" w:rsidRPr="00376B90" w:rsidRDefault="00376B90" w:rsidP="00376B9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868789"/>
          <w:sz w:val="24"/>
          <w:szCs w:val="24"/>
          <w:lang w:eastAsia="sk-SK"/>
        </w:rPr>
      </w:pPr>
      <w:hyperlink r:id="rId4" w:history="1">
        <w:r w:rsidRPr="00376B90">
          <w:rPr>
            <w:rFonts w:ascii="Helvetica" w:eastAsia="Times New Roman" w:hAnsi="Helvetica" w:cs="Times New Roman"/>
            <w:noProof/>
            <w:color w:val="005DB4"/>
            <w:sz w:val="21"/>
            <w:szCs w:val="21"/>
            <w:lang w:eastAsia="sk-SK"/>
          </w:rPr>
          <mc:AlternateContent>
            <mc:Choice Requires="wps">
              <w:drawing>
                <wp:inline distT="0" distB="0" distL="0" distR="0" wp14:anchorId="5EB034C2" wp14:editId="2132F127">
                  <wp:extent cx="304800" cy="304800"/>
                  <wp:effectExtent l="0" t="0" r="0" b="0"/>
                  <wp:docPr id="2" name="Obdĺžnik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rect w14:anchorId="60BD55DF" id="Obdĺžnik 2" o:spid="_x0000_s1026" href="mailto:stakeholder2025@oecd-nea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/qIQIAADkEAAAOAAAAZHJzL2Uyb0RvYy54bWysU8GO0zAQvSPxD5bvNGkpsERNV6tWi1Za&#10;2JUWPsB1nMaq7TFjt+nyaRw4wX8xdtrShQMS4hKNZ5zn997MzC731rCdwqDB1Xw8KjlTTkKj3brm&#10;nz5ev7jgLEThGmHAqZo/qsAv58+fzXpfqQl0YBqFjEBcqHpf8y5GXxVFkJ2yIozAK0fFFtCKSEdc&#10;Fw2KntCtKSZl+broARuPIFUIlF0ORT7P+G2rZLxr26AiMzUnbjF/MX9X6VvMZ6Jao/Cdlgca4h9Y&#10;WKEdPXqCWooo2Bb1H1BWS4QAbRxJsAW0rZYqayA14/I3NQ+d8CprIXOCP9kU/h+s/LC7R6abmk84&#10;c8JSi+5WzfevP745vWGTrKkz2m0WRsvNgQH59/c+DdqWILdWuTg0C5URkSYldNoHzrBKD+NNM059&#10;KHofqswndS+HD/4ek6vB34LcBOZg0Qm3VlfBU2dp3ojzMYUIfadEQ+Y8gRswEmAgNLbq30NDKsU2&#10;Qla3b9GmN4gv2+fBeDwNhtpHJin5spxelDQ+kkqHOBEW1fFnjyG+U2BZCkgSscvgYncb4nD1eCW9&#10;5eBaG5Nnz7gnCcJMmexF4jtYsYLmkbgjEDbRoH2joAP8wllPs1vz8HkrUHFmbhzpfzueTtOw58P0&#10;1ZsJHfC8sjqvCCcJquaRsyFcxGFBth71uss2DxyvyLNWZz3Jz4HVgSzNZ3bksEtpAc7P+davjZ//&#10;B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IZ8z7zc&#10;AAAATgEAABkAAABkcnMvX3JlbHMvZTJvRG9jLnhtbC5yZWxzhJBBSwMxEIXvgv8hzL3NdkGRstl6&#10;UKEHL1J/wJDMbsImM0sSpf33xoNgQfA4zJvvvTfD4Zyi+qRcgrCB3bYDRWzFBZ4NvJ9eNg+gSkV2&#10;GIXJwIUKHMbbm+GNItZ2VHxYi2oULgZ8rete62I9JSxbWYnbZpKcsLYxz3pFu+BMuu+6e51/M2C8&#10;YqqjM5CPbgfqdFmb8/9smaZg6UnsRyKuf1ho30g5Bl4aFPNM1UDCEKvsW8eFvERHue/6u0ch6zZM&#10;+B36R/wqruV4PlfKjBH0OOirL4xfAAAA//8DAFBLAQItABQABgAIAAAAIQC2gziS/gAAAOEBAAAT&#10;AAAAAAAAAAAAAAAAAAAAAABbQ29udGVudF9UeXBlc10ueG1sUEsBAi0AFAAGAAgAAAAhADj9If/W&#10;AAAAlAEAAAsAAAAAAAAAAAAAAAAALwEAAF9yZWxzLy5yZWxzUEsBAi0AFAAGAAgAAAAhAAofP+oh&#10;AgAAOQQAAA4AAAAAAAAAAAAAAAAALgIAAGRycy9lMm9Eb2MueG1sUEsBAi0AFAAGAAgAAAAhAIZz&#10;kuHWAAAAAwEAAA8AAAAAAAAAAAAAAAAAewQAAGRycy9kb3ducmV2LnhtbFBLAQItABQABgAIAAAA&#10;IQCGfM+83AAAAE4BAAAZAAAAAAAAAAAAAAAAAH4FAABkcnMvX3JlbHMvZTJvRG9jLnhtbC5yZWxz&#10;UEsFBgAAAAAFAAUAOgEAAJEGAAAAAA==&#10;" o:button="t" filled="f" stroked="f">
                  <v:fill o:detectmouseclick="t"/>
                  <o:lock v:ext="edit" aspectratio="t"/>
                  <w10:anchorlock/>
                </v:rect>
              </w:pict>
            </mc:Fallback>
          </mc:AlternateContent>
        </w:r>
        <w:r w:rsidRPr="00376B90">
          <w:rPr>
            <w:rFonts w:ascii="Helvetica" w:eastAsia="Times New Roman" w:hAnsi="Helvetica" w:cs="Times New Roman"/>
            <w:color w:val="005DB4"/>
            <w:sz w:val="21"/>
            <w:szCs w:val="21"/>
            <w:u w:val="single"/>
            <w:lang w:eastAsia="sk-SK"/>
          </w:rPr>
          <w:t>stakeholder2025@oecd-nea.org</w:t>
        </w:r>
      </w:hyperlink>
    </w:p>
    <w:p w14:paraId="1428977D" w14:textId="77777777" w:rsidR="00376B90" w:rsidRPr="002345DC" w:rsidRDefault="00376B90" w:rsidP="002345DC">
      <w:pPr>
        <w:shd w:val="clear" w:color="auto" w:fill="E4E8EC"/>
        <w:spacing w:after="0" w:line="240" w:lineRule="auto"/>
        <w:rPr>
          <w:rFonts w:ascii="Helvetica" w:eastAsia="Times New Roman" w:hAnsi="Helvetica" w:cs="Times New Roman"/>
          <w:color w:val="002844"/>
          <w:sz w:val="72"/>
          <w:szCs w:val="72"/>
          <w:lang w:eastAsia="sk-SK"/>
        </w:rPr>
      </w:pPr>
    </w:p>
    <w:p w14:paraId="44712A82" w14:textId="32662E63" w:rsidR="002345DC" w:rsidRPr="002345DC" w:rsidRDefault="002345DC" w:rsidP="002345DC">
      <w:pPr>
        <w:shd w:val="clear" w:color="auto" w:fill="E4E8EC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sk-SK"/>
        </w:rPr>
      </w:pPr>
      <w:r w:rsidRPr="002345DC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sk-SK"/>
        </w:rPr>
        <mc:AlternateContent>
          <mc:Choice Requires="wps">
            <w:drawing>
              <wp:inline distT="0" distB="0" distL="0" distR="0" wp14:anchorId="273D288C" wp14:editId="3EDCA9AD">
                <wp:extent cx="304800" cy="304800"/>
                <wp:effectExtent l="0" t="0" r="0" b="0"/>
                <wp:docPr id="1" name="Obdĺžn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0D785" id="Obdĺžni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yb8AEAAMUDAAAOAAAAZHJzL2Uyb0RvYy54bWysU8FuEzEQvSPxD5bvZDchQFllU1WtipAK&#10;rVT4AMf27lpde8zYySZ8GgdO8F+MvUmalhviYnlmvG/evHm7ON/anm00BgOu5tNJyZl2EpRxbc2/&#10;frl+dcZZiMIp0YPTNd/pwM+XL18sBl/pGXTQK42MQFyoBl/zLkZfFUWQnbYiTMBrR8UG0IpIIbaF&#10;QjEQuu2LWVm+LQZA5RGkDoGyV2ORLzN+02gZb5sm6Mj6mhO3mE/M5yqdxXIhqhaF74zc0xD/wMIK&#10;46jpEepKRMHWaP6CskYiBGjiRIItoGmM1HkGmmZaPpvmvhNe51lInOCPMoX/Bys/b+6QGUW748wJ&#10;Syu6XalfP37/dOaBTZM+gw8VPbv3d5gmDP4G5ENgDi474Vp9ETypPH5/SCHC0GmhiGiGKJ5gpCAQ&#10;GlsNn0BRR7GOkNXbNmhTD9KFbfOSdscl6W1kkpKvy/lZSauUVNrfiWQhqsPHHkP8oMGydKk5ErsM&#10;LjY3IY5PD09SLwfXpu+zD3r3JEGYKZPJJ76jFCtQO+KOMHqJvE+XDvA7ZwP5qObh21qg5qz/6Gj+&#10;99P5PBkvB/M372YU4GlldVoRThJUzSNn4/UyjmZdezRtl2UeOV6QZo3J8yQ9R1Z7suSVrMje18mM&#10;p3F+9fj3Lf8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/dy8m/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4478975E" w14:textId="77777777" w:rsidR="002345DC" w:rsidRPr="002345DC" w:rsidRDefault="002345DC" w:rsidP="002345DC">
      <w:pPr>
        <w:shd w:val="clear" w:color="auto" w:fill="5C7FC2"/>
        <w:spacing w:line="240" w:lineRule="auto"/>
        <w:rPr>
          <w:rFonts w:ascii="Helvetica" w:eastAsia="Times New Roman" w:hAnsi="Helvetica" w:cs="Times New Roman"/>
          <w:color w:val="333333"/>
          <w:sz w:val="30"/>
          <w:szCs w:val="30"/>
          <w:lang w:eastAsia="sk-SK"/>
        </w:rPr>
      </w:pPr>
      <w:hyperlink r:id="rId5" w:tgtFrame="_blank" w:history="1">
        <w:r w:rsidRPr="002345DC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Register </w:t>
        </w:r>
        <w:proofErr w:type="spellStart"/>
        <w:r w:rsidRPr="002345DC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>for</w:t>
        </w:r>
        <w:proofErr w:type="spellEnd"/>
        <w:r w:rsidRPr="002345DC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 </w:t>
        </w:r>
        <w:proofErr w:type="spellStart"/>
        <w:r w:rsidRPr="002345DC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>the</w:t>
        </w:r>
        <w:proofErr w:type="spellEnd"/>
        <w:r w:rsidRPr="002345DC">
          <w:rPr>
            <w:rFonts w:ascii="Helvetica" w:eastAsia="Times New Roman" w:hAnsi="Helvetica" w:cs="Times New Roman"/>
            <w:color w:val="FFFFFF"/>
            <w:sz w:val="30"/>
            <w:szCs w:val="30"/>
            <w:lang w:eastAsia="sk-SK"/>
          </w:rPr>
          <w:t xml:space="preserve"> event</w:t>
        </w:r>
      </w:hyperlink>
    </w:p>
    <w:p w14:paraId="6153B854" w14:textId="77777777" w:rsidR="002345DC" w:rsidRPr="002345DC" w:rsidRDefault="002345DC" w:rsidP="002345DC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Background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objectives</w:t>
      </w:r>
      <w:proofErr w:type="spellEnd"/>
    </w:p>
    <w:p w14:paraId="63D35DC8" w14:textId="77777777" w:rsidR="002345DC" w:rsidRPr="002345DC" w:rsidRDefault="002345DC" w:rsidP="002345DC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NEA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Involvement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Workshops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(SIWS) are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known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fostering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active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dialogue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collaboration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amongst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diverse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first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series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held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2017,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focus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 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begin"/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instrText xml:space="preserve"> HYPERLINK "https://www.oecd-nea.org/jcms/pl_29032/nea-workshop-on-stakeholder-involvement-in-nuclear-decision-making" </w:instrText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separate"/>
      </w:r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stakeholder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involvement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nuclear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making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end"/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second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edition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2019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focused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 </w:t>
      </w:r>
      <w:hyperlink r:id="rId6" w:history="1"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risk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communication</w:t>
        </w:r>
        <w:proofErr w:type="spellEnd"/>
      </w:hyperlink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3EC1B7BE" w14:textId="77777777" w:rsidR="002345DC" w:rsidRPr="002345DC" w:rsidRDefault="002345DC" w:rsidP="002345DC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theme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third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edition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held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from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5-7 September 2023,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optimisation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making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preceded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by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series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 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begin"/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instrText xml:space="preserve"> HYPERLINK "https://www.oecd-nea.org/jcms/pl_89015/third-nea-stakeholder-involvement-workshop-on-optimisation-in-decision-making-summary-of-the-outcomes-from-the-preparatory-webinars?details=true" </w:instrText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separate"/>
      </w:r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preparatory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webinars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end"/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Some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120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from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23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countries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including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lastRenderedPageBreak/>
        <w:t>representatives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from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regulatory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bodies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industry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academia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non-governmental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(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NGOs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), civil society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indigenous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communities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were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attendance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considered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concepts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principles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values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can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help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practical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optimisation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framework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optimised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identified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as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reached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inclusive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holistic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manner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sustainable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outcome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Significant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progress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made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over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three-day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through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discussion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how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create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generic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framework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optimising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decisions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sector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highlighting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number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areas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further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consideration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 </w:t>
      </w:r>
    </w:p>
    <w:p w14:paraId="28B2D80E" w14:textId="77777777" w:rsidR="002345DC" w:rsidRPr="002345DC" w:rsidRDefault="002345DC" w:rsidP="002345DC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NEA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recognises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importance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continuing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work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involvement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which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key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topic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as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outlined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begin"/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instrText xml:space="preserve"> HYPERLINK "https://www.oecd-nea.org/jcms/pl_64036/the-strategic-plan-of-the-nuclear-energy-agency-2023-2028?details=true" </w:instrText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separate"/>
      </w:r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 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Strategic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>Plan</w:t>
      </w:r>
      <w:proofErr w:type="spellEnd"/>
      <w:r w:rsidRPr="002345DC">
        <w:rPr>
          <w:rFonts w:ascii="Helvetica" w:eastAsia="Times New Roman" w:hAnsi="Helvetica" w:cs="Times New Roman"/>
          <w:color w:val="005DB4"/>
          <w:sz w:val="27"/>
          <w:szCs w:val="27"/>
          <w:lang w:eastAsia="sk-SK"/>
        </w:rPr>
        <w:t xml:space="preserve"> 2023-2028</w:t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fldChar w:fldCharType="end"/>
      </w: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regard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setting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stage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fourth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edition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NEA SIWS.</w:t>
      </w:r>
    </w:p>
    <w:p w14:paraId="7017575E" w14:textId="77777777" w:rsidR="002345DC" w:rsidRPr="002345DC" w:rsidRDefault="002345DC" w:rsidP="002345DC">
      <w:pPr>
        <w:shd w:val="clear" w:color="auto" w:fill="E4E8EC"/>
        <w:spacing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establishment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 </w:t>
      </w:r>
      <w:hyperlink r:id="rId7" w:tooltip="High-Level Group on Stakeholder Engagement, Trust, Transparency and Social Sciences (HLG-SET)" w:history="1"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NEA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High</w:t>
        </w:r>
        <w:proofErr w:type="spellEnd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-Level Group on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Stakeholder</w:t>
        </w:r>
        <w:proofErr w:type="spellEnd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Engagement</w:t>
        </w:r>
        <w:proofErr w:type="spellEnd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, Trust,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Transparency</w:t>
        </w:r>
        <w:proofErr w:type="spellEnd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 and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Social</w:t>
        </w:r>
        <w:proofErr w:type="spellEnd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 </w:t>
        </w:r>
        <w:proofErr w:type="spellStart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Sciences</w:t>
        </w:r>
        <w:proofErr w:type="spellEnd"/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 xml:space="preserve"> (HLG-SET)</w:t>
        </w:r>
      </w:hyperlink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which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was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launched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engage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at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senior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policy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level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cultivate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deeper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understanding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relations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between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sector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civil society,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there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opportunity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maintain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momentum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foster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collaboration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across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diverse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group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Synergies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between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expertise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knowledge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these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two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groups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essential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fourth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edition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workshop.</w:t>
      </w:r>
    </w:p>
    <w:p w14:paraId="4A7F9986" w14:textId="77777777" w:rsidR="002345DC" w:rsidRPr="002345DC" w:rsidRDefault="002345DC" w:rsidP="002345DC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Preparatory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webinars</w:t>
      </w:r>
      <w:proofErr w:type="spellEnd"/>
    </w:p>
    <w:p w14:paraId="1C318492" w14:textId="77777777" w:rsidR="002345DC" w:rsidRPr="002345DC" w:rsidRDefault="002345DC" w:rsidP="002345DC">
      <w:pPr>
        <w:shd w:val="clear" w:color="auto" w:fill="E4E8EC"/>
        <w:spacing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preparation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fourth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SIWS,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NEA has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two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preparatory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webinars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explored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key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factors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that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contribute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power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imbalances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their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mitigation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when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engaging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diverse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nuclear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making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Each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webinar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attracted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approximately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50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providing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forum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focused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discussion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enhance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understanding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topic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third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webinar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planned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7 May 2025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further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equip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tools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support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meaningful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engagement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32B7952E" w14:textId="77777777" w:rsidR="002345DC" w:rsidRPr="002345DC" w:rsidRDefault="002345DC" w:rsidP="002345DC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Opportunity</w:t>
      </w:r>
      <w:proofErr w:type="spellEnd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engage</w:t>
      </w:r>
      <w:proofErr w:type="spellEnd"/>
    </w:p>
    <w:p w14:paraId="47E2CBC5" w14:textId="77777777" w:rsidR="002345DC" w:rsidRPr="002345DC" w:rsidRDefault="002345DC" w:rsidP="002345DC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fourth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SIWS,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held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over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three-day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period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focus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practical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application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of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approaches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tools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in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optimising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decision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making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include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representatives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from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government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bodies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industry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academic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research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institutions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NGOs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international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organisations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civil society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foster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broad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inclusive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dialogue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62B01809" w14:textId="77777777" w:rsidR="002345DC" w:rsidRPr="002345DC" w:rsidRDefault="002345DC" w:rsidP="002345DC">
      <w:pPr>
        <w:shd w:val="clear" w:color="auto" w:fill="E4E8EC"/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set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highly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interactive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offering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plenary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sessions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opportunities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dialogue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breakout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sessions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moderated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panel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discussions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Participants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are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invited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to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suggest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practical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case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studies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with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approaches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tools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for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stakeholder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engagement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building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on trust and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ensuring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transparency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.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outcomes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will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compiled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into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publicly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available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report.</w:t>
      </w:r>
    </w:p>
    <w:p w14:paraId="1896F873" w14:textId="77777777" w:rsidR="002345DC" w:rsidRPr="002345DC" w:rsidRDefault="002345DC" w:rsidP="002345DC">
      <w:pPr>
        <w:shd w:val="clear" w:color="auto" w:fill="E4E8EC"/>
        <w:spacing w:line="240" w:lineRule="auto"/>
        <w:jc w:val="both"/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lastRenderedPageBreak/>
        <w:t>If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you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have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any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queries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or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need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further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information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about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workshop,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the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NEA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can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be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</w:t>
      </w:r>
      <w:proofErr w:type="spellStart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contacted</w:t>
      </w:r>
      <w:proofErr w:type="spellEnd"/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 xml:space="preserve"> at </w:t>
      </w:r>
      <w:hyperlink r:id="rId8" w:history="1">
        <w:r w:rsidRPr="002345DC">
          <w:rPr>
            <w:rFonts w:ascii="Helvetica" w:eastAsia="Times New Roman" w:hAnsi="Helvetica" w:cs="Times New Roman"/>
            <w:color w:val="005DB4"/>
            <w:sz w:val="27"/>
            <w:szCs w:val="27"/>
            <w:lang w:eastAsia="sk-SK"/>
          </w:rPr>
          <w:t>stakeholder2025@oecd-nea.org</w:t>
        </w:r>
      </w:hyperlink>
      <w:r w:rsidRPr="002345DC">
        <w:rPr>
          <w:rFonts w:ascii="Helvetica" w:eastAsia="Times New Roman" w:hAnsi="Helvetica" w:cs="Times New Roman"/>
          <w:color w:val="333333"/>
          <w:sz w:val="27"/>
          <w:szCs w:val="27"/>
          <w:lang w:eastAsia="sk-SK"/>
        </w:rPr>
        <w:t>.</w:t>
      </w:r>
    </w:p>
    <w:p w14:paraId="72C60BD2" w14:textId="77777777" w:rsidR="002345DC" w:rsidRPr="002345DC" w:rsidRDefault="002345DC" w:rsidP="002345DC">
      <w:pPr>
        <w:shd w:val="clear" w:color="auto" w:fill="E4E8EC"/>
        <w:spacing w:line="240" w:lineRule="auto"/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</w:pPr>
      <w:proofErr w:type="spellStart"/>
      <w:r w:rsidRPr="002345DC">
        <w:rPr>
          <w:rFonts w:ascii="Helvetica" w:eastAsia="Times New Roman" w:hAnsi="Helvetica" w:cs="Times New Roman"/>
          <w:color w:val="002844"/>
          <w:sz w:val="45"/>
          <w:szCs w:val="45"/>
          <w:lang w:eastAsia="sk-SK"/>
        </w:rPr>
        <w:t>Registration</w:t>
      </w:r>
      <w:proofErr w:type="spellEnd"/>
    </w:p>
    <w:p w14:paraId="32C07266" w14:textId="77777777" w:rsidR="002345DC" w:rsidRPr="002345DC" w:rsidRDefault="002345DC" w:rsidP="002345DC">
      <w:pPr>
        <w:pBdr>
          <w:bottom w:val="dotted" w:sz="6" w:space="1" w:color="E1E1E1"/>
        </w:pBdr>
        <w:shd w:val="clear" w:color="auto" w:fill="E4E8EC"/>
        <w:spacing w:before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</w:pPr>
      <w:proofErr w:type="spellStart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Registration</w:t>
      </w:r>
      <w:proofErr w:type="spellEnd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 xml:space="preserve"> </w:t>
      </w:r>
      <w:proofErr w:type="spellStart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for</w:t>
      </w:r>
      <w:proofErr w:type="spellEnd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 xml:space="preserve"> </w:t>
      </w:r>
      <w:proofErr w:type="spellStart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the</w:t>
      </w:r>
      <w:proofErr w:type="spellEnd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 xml:space="preserve"> workshop </w:t>
      </w:r>
      <w:proofErr w:type="spellStart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is</w:t>
      </w:r>
      <w:proofErr w:type="spellEnd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 xml:space="preserve"> </w:t>
      </w:r>
      <w:proofErr w:type="spellStart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open</w:t>
      </w:r>
      <w:proofErr w:type="spellEnd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 xml:space="preserve"> </w:t>
      </w:r>
      <w:proofErr w:type="spellStart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through</w:t>
      </w:r>
      <w:proofErr w:type="spellEnd"/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 </w:t>
      </w:r>
      <w:proofErr w:type="spellStart"/>
      <w:r w:rsidRPr="002345DC">
        <w:rPr>
          <w:rFonts w:ascii="inherit" w:eastAsia="Times New Roman" w:hAnsi="inherit" w:cs="Times New Roman"/>
          <w:b/>
          <w:bCs/>
          <w:color w:val="333333"/>
          <w:sz w:val="36"/>
          <w:szCs w:val="36"/>
          <w:u w:val="single"/>
          <w:lang w:eastAsia="sk-SK"/>
        </w:rPr>
        <w:fldChar w:fldCharType="begin"/>
      </w:r>
      <w:r w:rsidRPr="002345DC">
        <w:rPr>
          <w:rFonts w:ascii="inherit" w:eastAsia="Times New Roman" w:hAnsi="inherit" w:cs="Times New Roman"/>
          <w:b/>
          <w:bCs/>
          <w:color w:val="333333"/>
          <w:sz w:val="36"/>
          <w:szCs w:val="36"/>
          <w:u w:val="single"/>
          <w:lang w:eastAsia="sk-SK"/>
        </w:rPr>
        <w:instrText xml:space="preserve"> HYPERLINK "http://www.oecd-nea.org/confdb/confdb/conf?id=1040" </w:instrText>
      </w:r>
      <w:r w:rsidRPr="002345DC">
        <w:rPr>
          <w:rFonts w:ascii="inherit" w:eastAsia="Times New Roman" w:hAnsi="inherit" w:cs="Times New Roman"/>
          <w:b/>
          <w:bCs/>
          <w:color w:val="333333"/>
          <w:sz w:val="36"/>
          <w:szCs w:val="36"/>
          <w:u w:val="single"/>
          <w:lang w:eastAsia="sk-SK"/>
        </w:rPr>
        <w:fldChar w:fldCharType="separate"/>
      </w:r>
      <w:r w:rsidRPr="002345DC">
        <w:rPr>
          <w:rFonts w:ascii="inherit" w:eastAsia="Times New Roman" w:hAnsi="inherit" w:cs="Times New Roman"/>
          <w:b/>
          <w:bCs/>
          <w:color w:val="005DB4"/>
          <w:sz w:val="36"/>
          <w:szCs w:val="36"/>
          <w:lang w:eastAsia="sk-SK"/>
        </w:rPr>
        <w:t>this</w:t>
      </w:r>
      <w:proofErr w:type="spellEnd"/>
      <w:r w:rsidRPr="002345DC">
        <w:rPr>
          <w:rFonts w:ascii="inherit" w:eastAsia="Times New Roman" w:hAnsi="inherit" w:cs="Times New Roman"/>
          <w:b/>
          <w:bCs/>
          <w:color w:val="005DB4"/>
          <w:sz w:val="36"/>
          <w:szCs w:val="36"/>
          <w:lang w:eastAsia="sk-SK"/>
        </w:rPr>
        <w:t xml:space="preserve"> </w:t>
      </w:r>
      <w:proofErr w:type="spellStart"/>
      <w:r w:rsidRPr="002345DC">
        <w:rPr>
          <w:rFonts w:ascii="inherit" w:eastAsia="Times New Roman" w:hAnsi="inherit" w:cs="Times New Roman"/>
          <w:b/>
          <w:bCs/>
          <w:color w:val="005DB4"/>
          <w:sz w:val="36"/>
          <w:szCs w:val="36"/>
          <w:lang w:eastAsia="sk-SK"/>
        </w:rPr>
        <w:t>link</w:t>
      </w:r>
      <w:proofErr w:type="spellEnd"/>
      <w:r w:rsidRPr="002345DC">
        <w:rPr>
          <w:rFonts w:ascii="inherit" w:eastAsia="Times New Roman" w:hAnsi="inherit" w:cs="Times New Roman"/>
          <w:b/>
          <w:bCs/>
          <w:color w:val="333333"/>
          <w:sz w:val="36"/>
          <w:szCs w:val="36"/>
          <w:u w:val="single"/>
          <w:lang w:eastAsia="sk-SK"/>
        </w:rPr>
        <w:fldChar w:fldCharType="end"/>
      </w:r>
      <w:r w:rsidRPr="002345DC">
        <w:rPr>
          <w:rFonts w:ascii="inherit" w:eastAsia="Times New Roman" w:hAnsi="inherit" w:cs="Times New Roman"/>
          <w:color w:val="333333"/>
          <w:sz w:val="36"/>
          <w:szCs w:val="36"/>
          <w:lang w:eastAsia="sk-SK"/>
        </w:rPr>
        <w:t>. </w:t>
      </w:r>
    </w:p>
    <w:p w14:paraId="1FF1B52F" w14:textId="77777777" w:rsidR="00073A82" w:rsidRDefault="00073A82"/>
    <w:sectPr w:rsidR="0007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C"/>
    <w:rsid w:val="00073A82"/>
    <w:rsid w:val="002345DC"/>
    <w:rsid w:val="003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7012"/>
  <w15:chartTrackingRefBased/>
  <w15:docId w15:val="{A9B3F19C-18F0-4FED-B2B0-458CF537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234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345D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345DC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23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345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8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5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0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7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1460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4889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194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7238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44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440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227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219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941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keholder2023@oecd-ne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ecd-nea.org/jcms/pl_93294/high-level-group-on-stakeholder-engagement-trust-transparency-and-social-sciences-hlg-s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ecd-nea.org/jcms/pl_29289/nea-workshop-on-stakeholder-involvement-risk-communication" TargetMode="External"/><Relationship Id="rId5" Type="http://schemas.openxmlformats.org/officeDocument/2006/relationships/hyperlink" Target="http://www.oecd-nea.org/confdb/confdb/conf?id=1040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akeholder2025@oecd-nea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2</cp:revision>
  <dcterms:created xsi:type="dcterms:W3CDTF">2025-02-17T07:33:00Z</dcterms:created>
  <dcterms:modified xsi:type="dcterms:W3CDTF">2025-02-17T07:36:00Z</dcterms:modified>
</cp:coreProperties>
</file>