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194C" w14:textId="77777777" w:rsidR="004E04FA" w:rsidRDefault="004E04FA" w:rsidP="004E04FA">
      <w:pPr>
        <w:pStyle w:val="Nadpis1"/>
        <w:shd w:val="clear" w:color="auto" w:fill="FFFFFF"/>
        <w:spacing w:before="0" w:beforeAutospacing="0" w:after="0" w:afterAutospacing="0"/>
        <w:rPr>
          <w:rFonts w:ascii="Roboto Condensed" w:hAnsi="Roboto Condensed"/>
          <w:b w:val="0"/>
          <w:bCs w:val="0"/>
          <w:color w:val="333333"/>
          <w:sz w:val="54"/>
          <w:szCs w:val="54"/>
        </w:rPr>
      </w:pPr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 xml:space="preserve">International </w:t>
      </w:r>
      <w:proofErr w:type="spellStart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>School</w:t>
      </w:r>
      <w:proofErr w:type="spellEnd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 xml:space="preserve"> of </w:t>
      </w:r>
      <w:proofErr w:type="spellStart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>Nuclear</w:t>
      </w:r>
      <w:proofErr w:type="spellEnd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 xml:space="preserve"> </w:t>
      </w:r>
      <w:proofErr w:type="spellStart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>Law</w:t>
      </w:r>
      <w:proofErr w:type="spellEnd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 xml:space="preserve"> (ISNL) - IAEA </w:t>
      </w:r>
      <w:proofErr w:type="spellStart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>Financial</w:t>
      </w:r>
      <w:proofErr w:type="spellEnd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 xml:space="preserve"> </w:t>
      </w:r>
      <w:proofErr w:type="spellStart"/>
      <w:r>
        <w:rPr>
          <w:rFonts w:ascii="Roboto Condensed" w:hAnsi="Roboto Condensed"/>
          <w:b w:val="0"/>
          <w:bCs w:val="0"/>
          <w:color w:val="333333"/>
          <w:sz w:val="54"/>
          <w:szCs w:val="54"/>
        </w:rPr>
        <w:t>Support</w:t>
      </w:r>
      <w:proofErr w:type="spellEnd"/>
    </w:p>
    <w:p w14:paraId="5F34615C" w14:textId="77777777" w:rsidR="004E04FA" w:rsidRDefault="004E04FA" w:rsidP="004E04FA">
      <w:pPr>
        <w:pStyle w:val="Nadpis2"/>
        <w:shd w:val="clear" w:color="auto" w:fill="FFFFFF"/>
        <w:spacing w:before="0" w:beforeAutospacing="0" w:after="0" w:afterAutospacing="0"/>
        <w:rPr>
          <w:rFonts w:ascii="Open Sans" w:hAnsi="Open Sans" w:cs="Open Sans"/>
          <w:b w:val="0"/>
          <w:bCs w:val="0"/>
          <w:color w:val="777777"/>
          <w:sz w:val="27"/>
          <w:szCs w:val="27"/>
        </w:rPr>
      </w:pPr>
      <w:r>
        <w:rPr>
          <w:rFonts w:ascii="Open Sans" w:hAnsi="Open Sans" w:cs="Open Sans"/>
          <w:b w:val="0"/>
          <w:bCs w:val="0"/>
          <w:color w:val="777777"/>
          <w:sz w:val="27"/>
          <w:szCs w:val="27"/>
        </w:rPr>
        <w:t xml:space="preserve">2025 </w:t>
      </w:r>
      <w:proofErr w:type="spellStart"/>
      <w:r>
        <w:rPr>
          <w:rFonts w:ascii="Open Sans" w:hAnsi="Open Sans" w:cs="Open Sans"/>
          <w:b w:val="0"/>
          <w:bCs w:val="0"/>
          <w:color w:val="777777"/>
          <w:sz w:val="27"/>
          <w:szCs w:val="27"/>
        </w:rPr>
        <w:t>Session</w:t>
      </w:r>
      <w:proofErr w:type="spellEnd"/>
      <w:r>
        <w:rPr>
          <w:rFonts w:ascii="Open Sans" w:hAnsi="Open Sans" w:cs="Open Sans"/>
          <w:b w:val="0"/>
          <w:bCs w:val="0"/>
          <w:color w:val="777777"/>
          <w:sz w:val="27"/>
          <w:szCs w:val="27"/>
        </w:rPr>
        <w:t>: 25 August to 5 September 2025</w:t>
      </w:r>
    </w:p>
    <w:p w14:paraId="0D2121BE" w14:textId="77777777" w:rsidR="004E04FA" w:rsidRDefault="004E04FA" w:rsidP="004E04FA">
      <w:pPr>
        <w:pStyle w:val="Nadpis2"/>
        <w:shd w:val="clear" w:color="auto" w:fill="FFFFFF"/>
        <w:spacing w:before="300" w:beforeAutospacing="0" w:after="150" w:afterAutospacing="0"/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</w:pP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Background</w:t>
      </w:r>
      <w:proofErr w:type="spellEnd"/>
    </w:p>
    <w:p w14:paraId="4B182634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International </w:t>
      </w:r>
      <w:proofErr w:type="spellStart"/>
      <w:r>
        <w:rPr>
          <w:rFonts w:ascii="Open Sans" w:hAnsi="Open Sans" w:cs="Open Sans"/>
          <w:color w:val="333333"/>
        </w:rPr>
        <w:t>School</w:t>
      </w:r>
      <w:proofErr w:type="spellEnd"/>
      <w:r>
        <w:rPr>
          <w:rFonts w:ascii="Open Sans" w:hAnsi="Open Sans" w:cs="Open Sans"/>
          <w:color w:val="333333"/>
        </w:rPr>
        <w:t xml:space="preserve"> of </w:t>
      </w:r>
      <w:proofErr w:type="spellStart"/>
      <w:r>
        <w:rPr>
          <w:rFonts w:ascii="Open Sans" w:hAnsi="Open Sans" w:cs="Open Sans"/>
          <w:color w:val="333333"/>
        </w:rPr>
        <w:t>Nuclear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Law</w:t>
      </w:r>
      <w:proofErr w:type="spellEnd"/>
      <w:r>
        <w:rPr>
          <w:rFonts w:ascii="Open Sans" w:hAnsi="Open Sans" w:cs="Open Sans"/>
          <w:color w:val="333333"/>
        </w:rPr>
        <w:t xml:space="preserve"> (ISNL) </w:t>
      </w:r>
      <w:proofErr w:type="spellStart"/>
      <w:r>
        <w:rPr>
          <w:rFonts w:ascii="Open Sans" w:hAnsi="Open Sans" w:cs="Open Sans"/>
          <w:color w:val="333333"/>
        </w:rPr>
        <w:t>was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established</w:t>
      </w:r>
      <w:proofErr w:type="spellEnd"/>
      <w:r>
        <w:rPr>
          <w:rFonts w:ascii="Open Sans" w:hAnsi="Open Sans" w:cs="Open Sans"/>
          <w:color w:val="333333"/>
        </w:rPr>
        <w:t xml:space="preserve"> in 2001 by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University</w:t>
      </w:r>
      <w:proofErr w:type="spellEnd"/>
      <w:r>
        <w:rPr>
          <w:rFonts w:ascii="Open Sans" w:hAnsi="Open Sans" w:cs="Open Sans"/>
          <w:color w:val="333333"/>
        </w:rPr>
        <w:t xml:space="preserve"> of </w:t>
      </w:r>
      <w:proofErr w:type="spellStart"/>
      <w:r>
        <w:rPr>
          <w:rFonts w:ascii="Open Sans" w:hAnsi="Open Sans" w:cs="Open Sans"/>
          <w:color w:val="333333"/>
        </w:rPr>
        <w:t>Montpellier</w:t>
      </w:r>
      <w:proofErr w:type="spellEnd"/>
      <w:r>
        <w:rPr>
          <w:rFonts w:ascii="Open Sans" w:hAnsi="Open Sans" w:cs="Open Sans"/>
          <w:color w:val="333333"/>
        </w:rPr>
        <w:t xml:space="preserve"> in </w:t>
      </w:r>
      <w:proofErr w:type="spellStart"/>
      <w:r>
        <w:rPr>
          <w:rFonts w:ascii="Open Sans" w:hAnsi="Open Sans" w:cs="Open Sans"/>
          <w:color w:val="333333"/>
        </w:rPr>
        <w:t>cooperation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with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OECD </w:t>
      </w:r>
      <w:proofErr w:type="spellStart"/>
      <w:r>
        <w:rPr>
          <w:rFonts w:ascii="Open Sans" w:hAnsi="Open Sans" w:cs="Open Sans"/>
          <w:color w:val="333333"/>
        </w:rPr>
        <w:t>Nuclear</w:t>
      </w:r>
      <w:proofErr w:type="spellEnd"/>
      <w:r>
        <w:rPr>
          <w:rFonts w:ascii="Open Sans" w:hAnsi="Open Sans" w:cs="Open Sans"/>
          <w:color w:val="333333"/>
        </w:rPr>
        <w:t xml:space="preserve"> Energy </w:t>
      </w:r>
      <w:proofErr w:type="spellStart"/>
      <w:r>
        <w:rPr>
          <w:rFonts w:ascii="Open Sans" w:hAnsi="Open Sans" w:cs="Open Sans"/>
          <w:color w:val="333333"/>
        </w:rPr>
        <w:t>Agency</w:t>
      </w:r>
      <w:proofErr w:type="spellEnd"/>
      <w:r>
        <w:rPr>
          <w:rFonts w:ascii="Open Sans" w:hAnsi="Open Sans" w:cs="Open Sans"/>
          <w:color w:val="333333"/>
        </w:rPr>
        <w:t xml:space="preserve"> (NEA).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School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benefits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from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of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International </w:t>
      </w:r>
      <w:proofErr w:type="spellStart"/>
      <w:r>
        <w:rPr>
          <w:rFonts w:ascii="Open Sans" w:hAnsi="Open Sans" w:cs="Open Sans"/>
          <w:color w:val="333333"/>
        </w:rPr>
        <w:t>Atomic</w:t>
      </w:r>
      <w:proofErr w:type="spellEnd"/>
      <w:r>
        <w:rPr>
          <w:rFonts w:ascii="Open Sans" w:hAnsi="Open Sans" w:cs="Open Sans"/>
          <w:color w:val="333333"/>
        </w:rPr>
        <w:t xml:space="preserve"> Energy </w:t>
      </w:r>
      <w:proofErr w:type="spellStart"/>
      <w:r>
        <w:rPr>
          <w:rFonts w:ascii="Open Sans" w:hAnsi="Open Sans" w:cs="Open Sans"/>
          <w:color w:val="333333"/>
        </w:rPr>
        <w:t>Agency</w:t>
      </w:r>
      <w:proofErr w:type="spellEnd"/>
      <w:r>
        <w:rPr>
          <w:rFonts w:ascii="Open Sans" w:hAnsi="Open Sans" w:cs="Open Sans"/>
          <w:color w:val="333333"/>
        </w:rPr>
        <w:t xml:space="preserve">. </w:t>
      </w:r>
      <w:proofErr w:type="spellStart"/>
      <w:r>
        <w:rPr>
          <w:rFonts w:ascii="Open Sans" w:hAnsi="Open Sans" w:cs="Open Sans"/>
          <w:color w:val="333333"/>
        </w:rPr>
        <w:t>Detailed</w:t>
      </w:r>
      <w:proofErr w:type="spellEnd"/>
      <w:r>
        <w:rPr>
          <w:rFonts w:ascii="Open Sans" w:hAnsi="Open Sans" w:cs="Open Sans"/>
          <w:color w:val="333333"/>
        </w:rPr>
        <w:t xml:space="preserve">  </w:t>
      </w:r>
      <w:proofErr w:type="spellStart"/>
      <w:r>
        <w:rPr>
          <w:rFonts w:ascii="Open Sans" w:hAnsi="Open Sans" w:cs="Open Sans"/>
          <w:color w:val="333333"/>
        </w:rPr>
        <w:t>information</w:t>
      </w:r>
      <w:proofErr w:type="spellEnd"/>
      <w:r>
        <w:rPr>
          <w:rFonts w:ascii="Open Sans" w:hAnsi="Open Sans" w:cs="Open Sans"/>
          <w:color w:val="333333"/>
        </w:rPr>
        <w:t xml:space="preserve"> on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ISNL </w:t>
      </w:r>
      <w:proofErr w:type="spellStart"/>
      <w:r>
        <w:rPr>
          <w:rFonts w:ascii="Open Sans" w:hAnsi="Open Sans" w:cs="Open Sans"/>
          <w:color w:val="333333"/>
        </w:rPr>
        <w:t>can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found</w:t>
      </w:r>
      <w:proofErr w:type="spellEnd"/>
      <w:r>
        <w:rPr>
          <w:rFonts w:ascii="Open Sans" w:hAnsi="Open Sans" w:cs="Open Sans"/>
          <w:color w:val="333333"/>
        </w:rPr>
        <w:t xml:space="preserve"> on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> </w:t>
      </w:r>
      <w:hyperlink r:id="rId4" w:history="1"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NEA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website</w:t>
        </w:r>
        <w:proofErr w:type="spellEnd"/>
      </w:hyperlink>
      <w:r>
        <w:rPr>
          <w:rFonts w:ascii="Open Sans" w:hAnsi="Open Sans" w:cs="Open Sans"/>
          <w:color w:val="333333"/>
        </w:rPr>
        <w:t>.</w:t>
      </w:r>
    </w:p>
    <w:p w14:paraId="787E6ADC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ISNL 2025 </w:t>
      </w:r>
      <w:proofErr w:type="spellStart"/>
      <w:r>
        <w:rPr>
          <w:rFonts w:ascii="Open Sans" w:hAnsi="Open Sans" w:cs="Open Sans"/>
          <w:color w:val="333333"/>
        </w:rPr>
        <w:t>session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will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take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place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from</w:t>
      </w:r>
      <w:proofErr w:type="spellEnd"/>
      <w:r>
        <w:rPr>
          <w:rFonts w:ascii="Open Sans" w:hAnsi="Open Sans" w:cs="Open Sans"/>
          <w:color w:val="333333"/>
        </w:rPr>
        <w:t xml:space="preserve"> 25 August to 5 September 2025.</w:t>
      </w:r>
    </w:p>
    <w:p w14:paraId="24D66F30" w14:textId="77777777" w:rsidR="004E04FA" w:rsidRDefault="004E04FA" w:rsidP="004E04FA">
      <w:pPr>
        <w:pStyle w:val="Nadpis2"/>
        <w:shd w:val="clear" w:color="auto" w:fill="FFFFFF"/>
        <w:spacing w:before="300" w:beforeAutospacing="0" w:after="150" w:afterAutospacing="0"/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</w:pPr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 xml:space="preserve">IAEA </w:t>
      </w: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financial</w:t>
      </w:r>
      <w:proofErr w:type="spellEnd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 xml:space="preserve"> </w:t>
      </w: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support</w:t>
      </w:r>
      <w:proofErr w:type="spellEnd"/>
    </w:p>
    <w:p w14:paraId="51744241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IAEA </w:t>
      </w:r>
      <w:proofErr w:type="spellStart"/>
      <w:r>
        <w:rPr>
          <w:rFonts w:ascii="Open Sans" w:hAnsi="Open Sans" w:cs="Open Sans"/>
          <w:color w:val="333333"/>
        </w:rPr>
        <w:t>awards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to a </w:t>
      </w:r>
      <w:proofErr w:type="spellStart"/>
      <w:r>
        <w:rPr>
          <w:rFonts w:ascii="Open Sans" w:hAnsi="Open Sans" w:cs="Open Sans"/>
          <w:color w:val="333333"/>
        </w:rPr>
        <w:t>limited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number</w:t>
      </w:r>
      <w:proofErr w:type="spellEnd"/>
      <w:r>
        <w:rPr>
          <w:rFonts w:ascii="Open Sans" w:hAnsi="Open Sans" w:cs="Open Sans"/>
          <w:color w:val="333333"/>
        </w:rPr>
        <w:t xml:space="preserve"> of </w:t>
      </w:r>
      <w:proofErr w:type="spellStart"/>
      <w:r>
        <w:rPr>
          <w:rFonts w:ascii="Open Sans" w:hAnsi="Open Sans" w:cs="Open Sans"/>
          <w:color w:val="333333"/>
        </w:rPr>
        <w:t>professionals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from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its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Member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States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who</w:t>
      </w:r>
      <w:proofErr w:type="spellEnd"/>
      <w:r>
        <w:rPr>
          <w:rFonts w:ascii="Open Sans" w:hAnsi="Open Sans" w:cs="Open Sans"/>
          <w:color w:val="333333"/>
        </w:rPr>
        <w:t xml:space="preserve"> are </w:t>
      </w:r>
      <w:proofErr w:type="spellStart"/>
      <w:r>
        <w:rPr>
          <w:rFonts w:ascii="Open Sans" w:hAnsi="Open Sans" w:cs="Open Sans"/>
          <w:color w:val="333333"/>
        </w:rPr>
        <w:t>eligible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under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> </w:t>
      </w:r>
      <w:hyperlink r:id="rId5" w:history="1"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IAEA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Technical</w:t>
        </w:r>
        <w:proofErr w:type="spellEnd"/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Cooperation</w:t>
        </w:r>
        <w:proofErr w:type="spellEnd"/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Programme</w:t>
        </w:r>
        <w:proofErr w:type="spellEnd"/>
      </w:hyperlink>
      <w:r>
        <w:rPr>
          <w:rFonts w:ascii="Open Sans" w:hAnsi="Open Sans" w:cs="Open Sans"/>
          <w:color w:val="333333"/>
        </w:rPr>
        <w:t xml:space="preserve">. </w:t>
      </w:r>
      <w:proofErr w:type="spellStart"/>
      <w:r>
        <w:rPr>
          <w:rFonts w:ascii="Open Sans" w:hAnsi="Open Sans" w:cs="Open Sans"/>
          <w:color w:val="333333"/>
        </w:rPr>
        <w:t>Selection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based</w:t>
      </w:r>
      <w:proofErr w:type="spellEnd"/>
      <w:r>
        <w:rPr>
          <w:rFonts w:ascii="Open Sans" w:hAnsi="Open Sans" w:cs="Open Sans"/>
          <w:color w:val="333333"/>
        </w:rPr>
        <w:t xml:space="preserve"> on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applicant's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particular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interest</w:t>
      </w:r>
      <w:proofErr w:type="spellEnd"/>
      <w:r>
        <w:rPr>
          <w:rFonts w:ascii="Open Sans" w:hAnsi="Open Sans" w:cs="Open Sans"/>
          <w:color w:val="333333"/>
        </w:rPr>
        <w:t xml:space="preserve"> and </w:t>
      </w:r>
      <w:proofErr w:type="spellStart"/>
      <w:r>
        <w:rPr>
          <w:rFonts w:ascii="Open Sans" w:hAnsi="Open Sans" w:cs="Open Sans"/>
          <w:color w:val="333333"/>
        </w:rPr>
        <w:t>involvement</w:t>
      </w:r>
      <w:proofErr w:type="spellEnd"/>
      <w:r>
        <w:rPr>
          <w:rFonts w:ascii="Open Sans" w:hAnsi="Open Sans" w:cs="Open Sans"/>
          <w:color w:val="333333"/>
        </w:rPr>
        <w:t xml:space="preserve">  in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field</w:t>
      </w:r>
      <w:proofErr w:type="spellEnd"/>
      <w:r>
        <w:rPr>
          <w:rFonts w:ascii="Open Sans" w:hAnsi="Open Sans" w:cs="Open Sans"/>
          <w:color w:val="333333"/>
        </w:rPr>
        <w:t xml:space="preserve"> of </w:t>
      </w:r>
      <w:proofErr w:type="spellStart"/>
      <w:r>
        <w:rPr>
          <w:rFonts w:ascii="Open Sans" w:hAnsi="Open Sans" w:cs="Open Sans"/>
          <w:color w:val="333333"/>
        </w:rPr>
        <w:t>nuclear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law</w:t>
      </w:r>
      <w:proofErr w:type="spellEnd"/>
      <w:r>
        <w:rPr>
          <w:rFonts w:ascii="Open Sans" w:hAnsi="Open Sans" w:cs="Open Sans"/>
          <w:color w:val="333333"/>
        </w:rPr>
        <w:t>.</w:t>
      </w:r>
    </w:p>
    <w:p w14:paraId="741E8BD4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 </w:t>
      </w:r>
    </w:p>
    <w:p w14:paraId="52E74A83" w14:textId="77777777" w:rsidR="004E04FA" w:rsidRDefault="004E04FA" w:rsidP="004E04FA">
      <w:pPr>
        <w:pStyle w:val="Nadpis2"/>
        <w:shd w:val="clear" w:color="auto" w:fill="FFFFFF"/>
        <w:spacing w:before="300" w:beforeAutospacing="0" w:after="150" w:afterAutospacing="0"/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</w:pP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Deadline</w:t>
      </w:r>
      <w:proofErr w:type="spellEnd"/>
    </w:p>
    <w:p w14:paraId="0E225F3B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deadline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receiving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applications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IAEA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2025 </w:t>
      </w:r>
      <w:proofErr w:type="spellStart"/>
      <w:r>
        <w:rPr>
          <w:rFonts w:ascii="Open Sans" w:hAnsi="Open Sans" w:cs="Open Sans"/>
          <w:color w:val="333333"/>
        </w:rPr>
        <w:t>session</w:t>
      </w:r>
      <w:proofErr w:type="spellEnd"/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t>is</w:t>
      </w:r>
      <w:proofErr w:type="spellEnd"/>
      <w:r>
        <w:rPr>
          <w:rFonts w:ascii="Open Sans" w:hAnsi="Open Sans" w:cs="Open Sans"/>
          <w:color w:val="333333"/>
        </w:rPr>
        <w:t> </w:t>
      </w:r>
      <w:r>
        <w:rPr>
          <w:rStyle w:val="Vrazn"/>
          <w:rFonts w:ascii="Open Sans" w:hAnsi="Open Sans" w:cs="Open Sans"/>
          <w:color w:val="333333"/>
        </w:rPr>
        <w:t xml:space="preserve">31 </w:t>
      </w:r>
      <w:proofErr w:type="spellStart"/>
      <w:r>
        <w:rPr>
          <w:rStyle w:val="Vrazn"/>
          <w:rFonts w:ascii="Open Sans" w:hAnsi="Open Sans" w:cs="Open Sans"/>
          <w:color w:val="333333"/>
        </w:rPr>
        <w:t>March</w:t>
      </w:r>
      <w:proofErr w:type="spellEnd"/>
      <w:r>
        <w:rPr>
          <w:rStyle w:val="Vrazn"/>
          <w:rFonts w:ascii="Open Sans" w:hAnsi="Open Sans" w:cs="Open Sans"/>
          <w:color w:val="333333"/>
        </w:rPr>
        <w:t xml:space="preserve"> 2025.</w:t>
      </w:r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t>Applications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received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after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deadline</w:t>
      </w:r>
      <w:proofErr w:type="spellEnd"/>
      <w:r>
        <w:rPr>
          <w:rFonts w:ascii="Open Sans" w:hAnsi="Open Sans" w:cs="Open Sans"/>
          <w:color w:val="333333"/>
        </w:rPr>
        <w:t xml:space="preserve"> and </w:t>
      </w:r>
      <w:proofErr w:type="spellStart"/>
      <w:r>
        <w:rPr>
          <w:rFonts w:ascii="Open Sans" w:hAnsi="Open Sans" w:cs="Open Sans"/>
          <w:color w:val="333333"/>
        </w:rPr>
        <w:t>applications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that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have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not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been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submitted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through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InTouch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will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not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considered</w:t>
      </w:r>
      <w:proofErr w:type="spellEnd"/>
      <w:r>
        <w:rPr>
          <w:rFonts w:ascii="Open Sans" w:hAnsi="Open Sans" w:cs="Open Sans"/>
          <w:color w:val="333333"/>
        </w:rPr>
        <w:t>.</w:t>
      </w:r>
    </w:p>
    <w:p w14:paraId="57AC1387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Please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contact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us</w:t>
      </w:r>
      <w:proofErr w:type="spellEnd"/>
      <w:r>
        <w:rPr>
          <w:rFonts w:ascii="Open Sans" w:hAnsi="Open Sans" w:cs="Open Sans"/>
          <w:color w:val="333333"/>
        </w:rPr>
        <w:t xml:space="preserve"> by </w:t>
      </w:r>
      <w:hyperlink r:id="rId6" w:history="1">
        <w:r>
          <w:rPr>
            <w:rStyle w:val="Hypertextovprepojenie"/>
            <w:rFonts w:ascii="Open Sans" w:hAnsi="Open Sans" w:cs="Open Sans"/>
            <w:color w:val="0069B4"/>
            <w:u w:val="none"/>
          </w:rPr>
          <w:t>e-mail</w:t>
        </w:r>
      </w:hyperlink>
      <w:r>
        <w:rPr>
          <w:rFonts w:ascii="Open Sans" w:hAnsi="Open Sans" w:cs="Open Sans"/>
          <w:color w:val="333333"/>
        </w:rPr>
        <w:t xml:space="preserve">, </w:t>
      </w:r>
      <w:proofErr w:type="spellStart"/>
      <w:r>
        <w:rPr>
          <w:rFonts w:ascii="Open Sans" w:hAnsi="Open Sans" w:cs="Open Sans"/>
          <w:color w:val="333333"/>
        </w:rPr>
        <w:t>if</w:t>
      </w:r>
      <w:proofErr w:type="spellEnd"/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t>you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have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any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further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questions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regarding</w:t>
      </w:r>
      <w:proofErr w:type="spellEnd"/>
      <w:r>
        <w:rPr>
          <w:rFonts w:ascii="Open Sans" w:hAnsi="Open Sans" w:cs="Open Sans"/>
          <w:color w:val="333333"/>
        </w:rPr>
        <w:t xml:space="preserve"> IAEA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2025 </w:t>
      </w:r>
      <w:proofErr w:type="spellStart"/>
      <w:r>
        <w:rPr>
          <w:rFonts w:ascii="Open Sans" w:hAnsi="Open Sans" w:cs="Open Sans"/>
          <w:color w:val="333333"/>
        </w:rPr>
        <w:t>session</w:t>
      </w:r>
      <w:proofErr w:type="spellEnd"/>
      <w:r>
        <w:rPr>
          <w:rFonts w:ascii="Open Sans" w:hAnsi="Open Sans" w:cs="Open Sans"/>
          <w:color w:val="333333"/>
        </w:rPr>
        <w:t>.</w:t>
      </w:r>
    </w:p>
    <w:p w14:paraId="7F760B9D" w14:textId="77777777" w:rsidR="004E04FA" w:rsidRDefault="004E04FA" w:rsidP="004E04FA">
      <w:pPr>
        <w:pStyle w:val="Nadpis2"/>
        <w:shd w:val="clear" w:color="auto" w:fill="FFFFFF"/>
        <w:spacing w:before="300" w:beforeAutospacing="0" w:after="150" w:afterAutospacing="0"/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</w:pP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Application</w:t>
      </w:r>
      <w:proofErr w:type="spellEnd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 xml:space="preserve"> </w:t>
      </w:r>
      <w:proofErr w:type="spellStart"/>
      <w:r>
        <w:rPr>
          <w:rFonts w:ascii="Roboto Condensed" w:hAnsi="Roboto Condensed" w:cs="Open Sans"/>
          <w:b w:val="0"/>
          <w:bCs w:val="0"/>
          <w:color w:val="333333"/>
          <w:sz w:val="45"/>
          <w:szCs w:val="45"/>
        </w:rPr>
        <w:t>procedure</w:t>
      </w:r>
      <w:proofErr w:type="spellEnd"/>
    </w:p>
    <w:p w14:paraId="6EA8839D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If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you</w:t>
      </w:r>
      <w:proofErr w:type="spellEnd"/>
      <w:r>
        <w:rPr>
          <w:rFonts w:ascii="Open Sans" w:hAnsi="Open Sans" w:cs="Open Sans"/>
          <w:color w:val="333333"/>
        </w:rPr>
        <w:t xml:space="preserve"> are </w:t>
      </w:r>
      <w:proofErr w:type="spellStart"/>
      <w:r>
        <w:rPr>
          <w:rFonts w:ascii="Open Sans" w:hAnsi="Open Sans" w:cs="Open Sans"/>
          <w:color w:val="333333"/>
        </w:rPr>
        <w:t>interested</w:t>
      </w:r>
      <w:proofErr w:type="spellEnd"/>
      <w:r>
        <w:rPr>
          <w:rFonts w:ascii="Open Sans" w:hAnsi="Open Sans" w:cs="Open Sans"/>
          <w:color w:val="333333"/>
        </w:rPr>
        <w:t xml:space="preserve"> in </w:t>
      </w:r>
      <w:proofErr w:type="spellStart"/>
      <w:r>
        <w:rPr>
          <w:rFonts w:ascii="Open Sans" w:hAnsi="Open Sans" w:cs="Open Sans"/>
          <w:color w:val="333333"/>
        </w:rPr>
        <w:t>applying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IAEA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  </w:t>
      </w:r>
      <w:proofErr w:type="spellStart"/>
      <w:r>
        <w:rPr>
          <w:rFonts w:ascii="Open Sans" w:hAnsi="Open Sans" w:cs="Open Sans"/>
          <w:color w:val="333333"/>
        </w:rPr>
        <w:t>your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participation</w:t>
      </w:r>
      <w:proofErr w:type="spellEnd"/>
      <w:r>
        <w:rPr>
          <w:rFonts w:ascii="Open Sans" w:hAnsi="Open Sans" w:cs="Open Sans"/>
          <w:color w:val="333333"/>
        </w:rPr>
        <w:t xml:space="preserve"> in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ISNL, </w:t>
      </w:r>
      <w:proofErr w:type="spellStart"/>
      <w:r>
        <w:rPr>
          <w:rFonts w:ascii="Open Sans" w:hAnsi="Open Sans" w:cs="Open Sans"/>
          <w:color w:val="333333"/>
        </w:rPr>
        <w:t>you</w:t>
      </w:r>
      <w:proofErr w:type="spellEnd"/>
      <w:r>
        <w:rPr>
          <w:rFonts w:ascii="Open Sans" w:hAnsi="Open Sans" w:cs="Open Sans"/>
          <w:color w:val="333333"/>
        </w:rPr>
        <w:t xml:space="preserve"> are </w:t>
      </w:r>
      <w:proofErr w:type="spellStart"/>
      <w:r>
        <w:rPr>
          <w:rFonts w:ascii="Open Sans" w:hAnsi="Open Sans" w:cs="Open Sans"/>
          <w:color w:val="333333"/>
        </w:rPr>
        <w:t>kindly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requested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submit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application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directly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IAEA in </w:t>
      </w:r>
      <w:proofErr w:type="spellStart"/>
      <w:r>
        <w:rPr>
          <w:rFonts w:ascii="Open Sans" w:hAnsi="Open Sans" w:cs="Open Sans"/>
          <w:color w:val="333333"/>
        </w:rPr>
        <w:t>addition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your</w:t>
      </w:r>
      <w:proofErr w:type="spellEnd"/>
      <w:r>
        <w:rPr>
          <w:rFonts w:ascii="Open Sans" w:hAnsi="Open Sans" w:cs="Open Sans"/>
          <w:color w:val="333333"/>
        </w:rPr>
        <w:t> </w:t>
      </w:r>
      <w:hyperlink r:id="rId7" w:history="1"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ISNL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application</w:t>
        </w:r>
        <w:proofErr w:type="spellEnd"/>
        <w:r>
          <w:rPr>
            <w:rStyle w:val="Hypertextovprepojenie"/>
            <w:rFonts w:ascii="Open Sans" w:hAnsi="Open Sans" w:cs="Open Sans"/>
            <w:color w:val="0069B4"/>
            <w:u w:val="none"/>
          </w:rPr>
          <w:t xml:space="preserve"> </w:t>
        </w:r>
        <w:proofErr w:type="spellStart"/>
        <w:r>
          <w:rPr>
            <w:rStyle w:val="Hypertextovprepojenie"/>
            <w:rFonts w:ascii="Open Sans" w:hAnsi="Open Sans" w:cs="Open Sans"/>
            <w:color w:val="0069B4"/>
            <w:u w:val="none"/>
          </w:rPr>
          <w:t>form</w:t>
        </w:r>
        <w:proofErr w:type="spellEnd"/>
        <w:r>
          <w:rPr>
            <w:rStyle w:val="Hypertextovprepojenie"/>
            <w:rFonts w:ascii="Open Sans" w:hAnsi="Open Sans" w:cs="Open Sans"/>
            <w:color w:val="0069B4"/>
            <w:u w:val="none"/>
          </w:rPr>
          <w:t> </w:t>
        </w:r>
      </w:hyperlink>
      <w:r>
        <w:rPr>
          <w:rFonts w:ascii="Open Sans" w:hAnsi="Open Sans" w:cs="Open Sans"/>
          <w:color w:val="333333"/>
        </w:rPr>
        <w:t xml:space="preserve">to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submitted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NEA.</w:t>
      </w:r>
    </w:p>
    <w:p w14:paraId="51CE085C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Applications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financial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support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should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submitted</w:t>
      </w:r>
      <w:proofErr w:type="spellEnd"/>
      <w:r>
        <w:rPr>
          <w:rFonts w:ascii="Open Sans" w:hAnsi="Open Sans" w:cs="Open Sans"/>
          <w:color w:val="333333"/>
        </w:rPr>
        <w:t xml:space="preserve"> online </w:t>
      </w:r>
      <w:proofErr w:type="spellStart"/>
      <w:r>
        <w:rPr>
          <w:rFonts w:ascii="Open Sans" w:hAnsi="Open Sans" w:cs="Open Sans"/>
          <w:color w:val="333333"/>
        </w:rPr>
        <w:t>through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fldChar w:fldCharType="begin"/>
      </w:r>
      <w:r>
        <w:rPr>
          <w:rFonts w:ascii="Open Sans" w:hAnsi="Open Sans" w:cs="Open Sans"/>
          <w:color w:val="333333"/>
        </w:rPr>
        <w:instrText xml:space="preserve"> HYPERLINK "https://intouchplus.iaea.org/ITP/faces/main.jsf" </w:instrText>
      </w:r>
      <w:r>
        <w:rPr>
          <w:rFonts w:ascii="Open Sans" w:hAnsi="Open Sans" w:cs="Open Sans"/>
          <w:color w:val="333333"/>
        </w:rPr>
        <w:fldChar w:fldCharType="separate"/>
      </w:r>
      <w:r>
        <w:rPr>
          <w:rStyle w:val="Hypertextovprepojenie"/>
          <w:rFonts w:ascii="Open Sans" w:hAnsi="Open Sans" w:cs="Open Sans"/>
          <w:color w:val="0069B4"/>
          <w:u w:val="none"/>
        </w:rPr>
        <w:t>InTouch</w:t>
      </w:r>
      <w:proofErr w:type="spellEnd"/>
      <w:r>
        <w:rPr>
          <w:rStyle w:val="Hypertextovprepojenie"/>
          <w:rFonts w:ascii="Open Sans" w:hAnsi="Open Sans" w:cs="Open Sans"/>
          <w:color w:val="0069B4"/>
          <w:u w:val="none"/>
        </w:rPr>
        <w:t xml:space="preserve">+ </w:t>
      </w:r>
      <w:proofErr w:type="spellStart"/>
      <w:r>
        <w:rPr>
          <w:rStyle w:val="Hypertextovprepojenie"/>
          <w:rFonts w:ascii="Open Sans" w:hAnsi="Open Sans" w:cs="Open Sans"/>
          <w:color w:val="0069B4"/>
          <w:u w:val="none"/>
        </w:rPr>
        <w:t>system</w:t>
      </w:r>
      <w:proofErr w:type="spellEnd"/>
      <w:r>
        <w:rPr>
          <w:rFonts w:ascii="Open Sans" w:hAnsi="Open Sans" w:cs="Open Sans"/>
          <w:color w:val="333333"/>
        </w:rPr>
        <w:fldChar w:fldCharType="end"/>
      </w:r>
      <w:r>
        <w:rPr>
          <w:rFonts w:ascii="Open Sans" w:hAnsi="Open Sans" w:cs="Open Sans"/>
          <w:color w:val="333333"/>
        </w:rPr>
        <w:t xml:space="preserve">. </w:t>
      </w:r>
      <w:proofErr w:type="spellStart"/>
      <w:r>
        <w:rPr>
          <w:rFonts w:ascii="Open Sans" w:hAnsi="Open Sans" w:cs="Open Sans"/>
          <w:color w:val="333333"/>
        </w:rPr>
        <w:t>Applications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should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linked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technical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cooperation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lastRenderedPageBreak/>
        <w:t>project</w:t>
      </w:r>
      <w:proofErr w:type="spellEnd"/>
      <w:r>
        <w:rPr>
          <w:rFonts w:ascii="Open Sans" w:hAnsi="Open Sans" w:cs="Open Sans"/>
          <w:color w:val="333333"/>
        </w:rPr>
        <w:t xml:space="preserve"> INT0102 – </w:t>
      </w:r>
      <w:proofErr w:type="spellStart"/>
      <w:r>
        <w:rPr>
          <w:rFonts w:ascii="Open Sans" w:hAnsi="Open Sans" w:cs="Open Sans"/>
          <w:color w:val="333333"/>
        </w:rPr>
        <w:t>Establishing</w:t>
      </w:r>
      <w:proofErr w:type="spellEnd"/>
      <w:r>
        <w:rPr>
          <w:rFonts w:ascii="Open Sans" w:hAnsi="Open Sans" w:cs="Open Sans"/>
          <w:color w:val="333333"/>
        </w:rPr>
        <w:t xml:space="preserve"> and </w:t>
      </w:r>
      <w:proofErr w:type="spellStart"/>
      <w:r>
        <w:rPr>
          <w:rFonts w:ascii="Open Sans" w:hAnsi="Open Sans" w:cs="Open Sans"/>
          <w:color w:val="333333"/>
        </w:rPr>
        <w:t>Enhancing</w:t>
      </w:r>
      <w:proofErr w:type="spellEnd"/>
      <w:r>
        <w:rPr>
          <w:rFonts w:ascii="Open Sans" w:hAnsi="Open Sans" w:cs="Open Sans"/>
          <w:color w:val="333333"/>
        </w:rPr>
        <w:t xml:space="preserve"> National </w:t>
      </w:r>
      <w:proofErr w:type="spellStart"/>
      <w:r>
        <w:rPr>
          <w:rFonts w:ascii="Open Sans" w:hAnsi="Open Sans" w:cs="Open Sans"/>
          <w:color w:val="333333"/>
        </w:rPr>
        <w:t>Legal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Frameworks</w:t>
      </w:r>
      <w:proofErr w:type="spellEnd"/>
      <w:r>
        <w:rPr>
          <w:rFonts w:ascii="Open Sans" w:hAnsi="Open Sans" w:cs="Open Sans"/>
          <w:color w:val="333333"/>
        </w:rPr>
        <w:t xml:space="preserve"> in </w:t>
      </w:r>
      <w:proofErr w:type="spellStart"/>
      <w:r>
        <w:rPr>
          <w:rFonts w:ascii="Open Sans" w:hAnsi="Open Sans" w:cs="Open Sans"/>
          <w:color w:val="333333"/>
        </w:rPr>
        <w:t>Member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States</w:t>
      </w:r>
      <w:proofErr w:type="spellEnd"/>
      <w:r>
        <w:rPr>
          <w:rFonts w:ascii="Open Sans" w:hAnsi="Open Sans" w:cs="Open Sans"/>
          <w:color w:val="333333"/>
        </w:rPr>
        <w:t>, </w:t>
      </w:r>
      <w:r>
        <w:rPr>
          <w:rStyle w:val="Vrazn"/>
          <w:rFonts w:ascii="Open Sans" w:hAnsi="Open Sans" w:cs="Open Sans"/>
          <w:color w:val="333333"/>
        </w:rPr>
        <w:t>EVT2500223</w:t>
      </w:r>
      <w:r>
        <w:rPr>
          <w:rFonts w:ascii="Open Sans" w:hAnsi="Open Sans" w:cs="Open Sans"/>
          <w:color w:val="333333"/>
        </w:rPr>
        <w:t>.</w:t>
      </w:r>
    </w:p>
    <w:p w14:paraId="682381AB" w14:textId="77777777" w:rsidR="004E04FA" w:rsidRDefault="004E04FA" w:rsidP="004E04FA">
      <w:pPr>
        <w:pStyle w:val="Normlnywebov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Interested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applicants</w:t>
      </w:r>
      <w:proofErr w:type="spellEnd"/>
      <w:r>
        <w:rPr>
          <w:rFonts w:ascii="Open Sans" w:hAnsi="Open Sans" w:cs="Open Sans"/>
          <w:color w:val="333333"/>
        </w:rPr>
        <w:t xml:space="preserve"> are </w:t>
      </w:r>
      <w:proofErr w:type="spellStart"/>
      <w:r>
        <w:rPr>
          <w:rFonts w:ascii="Open Sans" w:hAnsi="Open Sans" w:cs="Open Sans"/>
          <w:color w:val="333333"/>
        </w:rPr>
        <w:t>invited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visit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fldChar w:fldCharType="begin"/>
      </w:r>
      <w:r>
        <w:rPr>
          <w:rFonts w:ascii="Open Sans" w:hAnsi="Open Sans" w:cs="Open Sans"/>
          <w:color w:val="333333"/>
        </w:rPr>
        <w:instrText xml:space="preserve"> HYPERLINK "https://nucleus.iaea.org/sites/intouchplushelp/Pages/UsingInTouchPlusHelp.aspx" </w:instrText>
      </w:r>
      <w:r>
        <w:rPr>
          <w:rFonts w:ascii="Open Sans" w:hAnsi="Open Sans" w:cs="Open Sans"/>
          <w:color w:val="333333"/>
        </w:rPr>
        <w:fldChar w:fldCharType="separate"/>
      </w:r>
      <w:r>
        <w:rPr>
          <w:rStyle w:val="Hypertextovprepojenie"/>
          <w:rFonts w:ascii="Open Sans" w:hAnsi="Open Sans" w:cs="Open Sans"/>
          <w:color w:val="0069B4"/>
          <w:u w:val="none"/>
        </w:rPr>
        <w:t>InTouch</w:t>
      </w:r>
      <w:proofErr w:type="spellEnd"/>
      <w:r>
        <w:rPr>
          <w:rStyle w:val="Hypertextovprepojenie"/>
          <w:rFonts w:ascii="Open Sans" w:hAnsi="Open Sans" w:cs="Open Sans"/>
          <w:color w:val="0069B4"/>
          <w:u w:val="none"/>
        </w:rPr>
        <w:t xml:space="preserve">+ </w:t>
      </w:r>
      <w:proofErr w:type="spellStart"/>
      <w:r>
        <w:rPr>
          <w:rStyle w:val="Hypertextovprepojenie"/>
          <w:rFonts w:ascii="Open Sans" w:hAnsi="Open Sans" w:cs="Open Sans"/>
          <w:color w:val="0069B4"/>
          <w:u w:val="none"/>
        </w:rPr>
        <w:t>Help</w:t>
      </w:r>
      <w:proofErr w:type="spellEnd"/>
      <w:r>
        <w:rPr>
          <w:rStyle w:val="Hypertextovprepojenie"/>
          <w:rFonts w:ascii="Open Sans" w:hAnsi="Open Sans" w:cs="Open Sans"/>
          <w:color w:val="0069B4"/>
          <w:u w:val="none"/>
        </w:rPr>
        <w:t xml:space="preserve"> </w:t>
      </w:r>
      <w:proofErr w:type="spellStart"/>
      <w:r>
        <w:rPr>
          <w:rStyle w:val="Hypertextovprepojenie"/>
          <w:rFonts w:ascii="Open Sans" w:hAnsi="Open Sans" w:cs="Open Sans"/>
          <w:color w:val="0069B4"/>
          <w:u w:val="none"/>
        </w:rPr>
        <w:t>Page</w:t>
      </w:r>
      <w:proofErr w:type="spellEnd"/>
      <w:r>
        <w:rPr>
          <w:rFonts w:ascii="Open Sans" w:hAnsi="Open Sans" w:cs="Open Sans"/>
          <w:color w:val="333333"/>
        </w:rPr>
        <w:fldChar w:fldCharType="end"/>
      </w:r>
      <w:r>
        <w:rPr>
          <w:rFonts w:ascii="Open Sans" w:hAnsi="Open Sans" w:cs="Open Sans"/>
          <w:color w:val="333333"/>
        </w:rPr>
        <w:t xml:space="preserve"> to </w:t>
      </w:r>
      <w:proofErr w:type="spellStart"/>
      <w:r>
        <w:rPr>
          <w:rFonts w:ascii="Open Sans" w:hAnsi="Open Sans" w:cs="Open Sans"/>
          <w:color w:val="333333"/>
        </w:rPr>
        <w:t>learn</w:t>
      </w:r>
      <w:proofErr w:type="spellEnd"/>
      <w:r>
        <w:rPr>
          <w:rFonts w:ascii="Open Sans" w:hAnsi="Open Sans" w:cs="Open Sans"/>
          <w:color w:val="333333"/>
        </w:rPr>
        <w:t xml:space="preserve"> more </w:t>
      </w:r>
      <w:proofErr w:type="spellStart"/>
      <w:r>
        <w:rPr>
          <w:rFonts w:ascii="Open Sans" w:hAnsi="Open Sans" w:cs="Open Sans"/>
          <w:color w:val="333333"/>
        </w:rPr>
        <w:t>about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how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apply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via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Intouch</w:t>
      </w:r>
      <w:proofErr w:type="spellEnd"/>
      <w:r>
        <w:rPr>
          <w:rFonts w:ascii="Open Sans" w:hAnsi="Open Sans" w:cs="Open Sans"/>
          <w:color w:val="333333"/>
        </w:rPr>
        <w:t xml:space="preserve"> Plus event.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help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page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provides</w:t>
      </w:r>
      <w:proofErr w:type="spellEnd"/>
      <w:r>
        <w:rPr>
          <w:rFonts w:ascii="Open Sans" w:hAnsi="Open Sans" w:cs="Open Sans"/>
          <w:color w:val="333333"/>
        </w:rPr>
        <w:t xml:space="preserve"> step-by-step </w:t>
      </w:r>
      <w:proofErr w:type="spellStart"/>
      <w:r>
        <w:rPr>
          <w:rFonts w:ascii="Open Sans" w:hAnsi="Open Sans" w:cs="Open Sans"/>
          <w:color w:val="333333"/>
        </w:rPr>
        <w:t>guidance</w:t>
      </w:r>
      <w:proofErr w:type="spellEnd"/>
      <w:r>
        <w:rPr>
          <w:rFonts w:ascii="Open Sans" w:hAnsi="Open Sans" w:cs="Open Sans"/>
          <w:color w:val="333333"/>
        </w:rPr>
        <w:t xml:space="preserve"> on </w:t>
      </w:r>
      <w:proofErr w:type="spellStart"/>
      <w:r>
        <w:rPr>
          <w:rFonts w:ascii="Open Sans" w:hAnsi="Open Sans" w:cs="Open Sans"/>
          <w:color w:val="333333"/>
        </w:rPr>
        <w:t>how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complete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your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Intouch</w:t>
      </w:r>
      <w:proofErr w:type="spellEnd"/>
      <w:r>
        <w:rPr>
          <w:rFonts w:ascii="Open Sans" w:hAnsi="Open Sans" w:cs="Open Sans"/>
          <w:color w:val="333333"/>
        </w:rPr>
        <w:t xml:space="preserve"> Plus profile, </w:t>
      </w:r>
      <w:proofErr w:type="spellStart"/>
      <w:r>
        <w:rPr>
          <w:rFonts w:ascii="Open Sans" w:hAnsi="Open Sans" w:cs="Open Sans"/>
          <w:color w:val="333333"/>
        </w:rPr>
        <w:t>how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find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 xml:space="preserve"> event </w:t>
      </w:r>
      <w:proofErr w:type="spellStart"/>
      <w:r>
        <w:rPr>
          <w:rFonts w:ascii="Open Sans" w:hAnsi="Open Sans" w:cs="Open Sans"/>
          <w:color w:val="333333"/>
        </w:rPr>
        <w:t>you</w:t>
      </w:r>
      <w:proofErr w:type="spellEnd"/>
      <w:r>
        <w:rPr>
          <w:rFonts w:ascii="Open Sans" w:hAnsi="Open Sans" w:cs="Open Sans"/>
          <w:color w:val="333333"/>
        </w:rPr>
        <w:t xml:space="preserve"> are </w:t>
      </w:r>
      <w:proofErr w:type="spellStart"/>
      <w:r>
        <w:rPr>
          <w:rFonts w:ascii="Open Sans" w:hAnsi="Open Sans" w:cs="Open Sans"/>
          <w:color w:val="333333"/>
        </w:rPr>
        <w:t>looking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for</w:t>
      </w:r>
      <w:proofErr w:type="spellEnd"/>
      <w:r>
        <w:rPr>
          <w:rFonts w:ascii="Open Sans" w:hAnsi="Open Sans" w:cs="Open Sans"/>
          <w:color w:val="333333"/>
        </w:rPr>
        <w:t xml:space="preserve"> and </w:t>
      </w:r>
      <w:proofErr w:type="spellStart"/>
      <w:r>
        <w:rPr>
          <w:rFonts w:ascii="Open Sans" w:hAnsi="Open Sans" w:cs="Open Sans"/>
          <w:color w:val="333333"/>
        </w:rPr>
        <w:t>how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successfully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submit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your</w:t>
      </w:r>
      <w:proofErr w:type="spellEnd"/>
      <w:r>
        <w:rPr>
          <w:rFonts w:ascii="Open Sans" w:hAnsi="Open Sans" w:cs="Open Sans"/>
          <w:color w:val="333333"/>
        </w:rPr>
        <w:t xml:space="preserve"> online </w:t>
      </w:r>
      <w:proofErr w:type="spellStart"/>
      <w:r>
        <w:rPr>
          <w:rFonts w:ascii="Open Sans" w:hAnsi="Open Sans" w:cs="Open Sans"/>
          <w:color w:val="333333"/>
        </w:rPr>
        <w:t>application</w:t>
      </w:r>
      <w:proofErr w:type="spellEnd"/>
      <w:r>
        <w:rPr>
          <w:rFonts w:ascii="Open Sans" w:hAnsi="Open Sans" w:cs="Open Sans"/>
          <w:color w:val="333333"/>
        </w:rPr>
        <w:t xml:space="preserve">. </w:t>
      </w:r>
      <w:proofErr w:type="spellStart"/>
      <w:r>
        <w:rPr>
          <w:rFonts w:ascii="Open Sans" w:hAnsi="Open Sans" w:cs="Open Sans"/>
          <w:color w:val="333333"/>
        </w:rPr>
        <w:t>Any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queries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regarding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InTouch</w:t>
      </w:r>
      <w:proofErr w:type="spellEnd"/>
      <w:r>
        <w:rPr>
          <w:rFonts w:ascii="Open Sans" w:hAnsi="Open Sans" w:cs="Open Sans"/>
          <w:color w:val="333333"/>
        </w:rPr>
        <w:t xml:space="preserve">+ </w:t>
      </w:r>
      <w:proofErr w:type="spellStart"/>
      <w:r>
        <w:rPr>
          <w:rFonts w:ascii="Open Sans" w:hAnsi="Open Sans" w:cs="Open Sans"/>
          <w:color w:val="333333"/>
        </w:rPr>
        <w:t>can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be</w:t>
      </w:r>
      <w:proofErr w:type="spellEnd"/>
      <w:r>
        <w:rPr>
          <w:rFonts w:ascii="Open Sans" w:hAnsi="Open Sans" w:cs="Open Sans"/>
          <w:color w:val="333333"/>
        </w:rPr>
        <w:t xml:space="preserve"> </w:t>
      </w:r>
      <w:proofErr w:type="spellStart"/>
      <w:r>
        <w:rPr>
          <w:rFonts w:ascii="Open Sans" w:hAnsi="Open Sans" w:cs="Open Sans"/>
          <w:color w:val="333333"/>
        </w:rPr>
        <w:t>directed</w:t>
      </w:r>
      <w:proofErr w:type="spellEnd"/>
      <w:r>
        <w:rPr>
          <w:rFonts w:ascii="Open Sans" w:hAnsi="Open Sans" w:cs="Open Sans"/>
          <w:color w:val="333333"/>
        </w:rPr>
        <w:t xml:space="preserve"> to </w:t>
      </w:r>
      <w:proofErr w:type="spellStart"/>
      <w:r>
        <w:rPr>
          <w:rFonts w:ascii="Open Sans" w:hAnsi="Open Sans" w:cs="Open Sans"/>
          <w:color w:val="333333"/>
        </w:rPr>
        <w:t>the</w:t>
      </w:r>
      <w:proofErr w:type="spellEnd"/>
      <w:r>
        <w:rPr>
          <w:rFonts w:ascii="Open Sans" w:hAnsi="Open Sans" w:cs="Open Sans"/>
          <w:color w:val="333333"/>
        </w:rPr>
        <w:t> </w:t>
      </w:r>
      <w:proofErr w:type="spellStart"/>
      <w:r>
        <w:rPr>
          <w:rFonts w:ascii="Open Sans" w:hAnsi="Open Sans" w:cs="Open Sans"/>
          <w:color w:val="333333"/>
        </w:rPr>
        <w:fldChar w:fldCharType="begin"/>
      </w:r>
      <w:r>
        <w:rPr>
          <w:rFonts w:ascii="Open Sans" w:hAnsi="Open Sans" w:cs="Open Sans"/>
          <w:color w:val="333333"/>
        </w:rPr>
        <w:instrText xml:space="preserve"> HYPERLINK "mailto:InTouchPlus.Contact-Point@iaea.org" </w:instrText>
      </w:r>
      <w:r>
        <w:rPr>
          <w:rFonts w:ascii="Open Sans" w:hAnsi="Open Sans" w:cs="Open Sans"/>
          <w:color w:val="333333"/>
        </w:rPr>
        <w:fldChar w:fldCharType="separate"/>
      </w:r>
      <w:r>
        <w:rPr>
          <w:rStyle w:val="Hypertextovprepojenie"/>
          <w:rFonts w:ascii="Open Sans" w:hAnsi="Open Sans" w:cs="Open Sans"/>
          <w:color w:val="0069B4"/>
          <w:u w:val="none"/>
        </w:rPr>
        <w:t>InTouchPlus</w:t>
      </w:r>
      <w:proofErr w:type="spellEnd"/>
      <w:r>
        <w:rPr>
          <w:rStyle w:val="Hypertextovprepojenie"/>
          <w:rFonts w:ascii="Open Sans" w:hAnsi="Open Sans" w:cs="Open Sans"/>
          <w:color w:val="0069B4"/>
          <w:u w:val="none"/>
        </w:rPr>
        <w:t xml:space="preserve"> </w:t>
      </w:r>
      <w:proofErr w:type="spellStart"/>
      <w:r>
        <w:rPr>
          <w:rStyle w:val="Hypertextovprepojenie"/>
          <w:rFonts w:ascii="Open Sans" w:hAnsi="Open Sans" w:cs="Open Sans"/>
          <w:color w:val="0069B4"/>
          <w:u w:val="none"/>
        </w:rPr>
        <w:t>Contact</w:t>
      </w:r>
      <w:proofErr w:type="spellEnd"/>
      <w:r>
        <w:rPr>
          <w:rStyle w:val="Hypertextovprepojenie"/>
          <w:rFonts w:ascii="Open Sans" w:hAnsi="Open Sans" w:cs="Open Sans"/>
          <w:color w:val="0069B4"/>
          <w:u w:val="none"/>
        </w:rPr>
        <w:t xml:space="preserve"> Point</w:t>
      </w:r>
      <w:r>
        <w:rPr>
          <w:rFonts w:ascii="Open Sans" w:hAnsi="Open Sans" w:cs="Open Sans"/>
          <w:color w:val="333333"/>
        </w:rPr>
        <w:fldChar w:fldCharType="end"/>
      </w:r>
      <w:r>
        <w:rPr>
          <w:rFonts w:ascii="Open Sans" w:hAnsi="Open Sans" w:cs="Open Sans"/>
          <w:color w:val="333333"/>
        </w:rPr>
        <w:t>.</w:t>
      </w:r>
    </w:p>
    <w:p w14:paraId="10DBBF2E" w14:textId="77777777" w:rsidR="004D7CBB" w:rsidRDefault="004D7CBB"/>
    <w:sectPr w:rsidR="004D7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1"/>
    <w:rsid w:val="004D7CBB"/>
    <w:rsid w:val="004E04FA"/>
    <w:rsid w:val="00B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7E4"/>
  <w15:chartTrackingRefBased/>
  <w15:docId w15:val="{2CDC6EB0-DCB6-484E-9F73-92D5FF9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92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92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2D3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92D31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B9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92D31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B92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9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0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74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088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39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0613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6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11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062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48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89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7181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57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96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550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62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ecd-nea.org/jcms/pl_89317/2024-isnl-application-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A-ISNL.Contact-Point@iaea.org" TargetMode="External"/><Relationship Id="rId5" Type="http://schemas.openxmlformats.org/officeDocument/2006/relationships/hyperlink" Target="https://www.iaea.org/services/technical-cooperation-programme" TargetMode="External"/><Relationship Id="rId4" Type="http://schemas.openxmlformats.org/officeDocument/2006/relationships/hyperlink" Target="http://www.oecd-nea.org/law/is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Makovnik</dc:creator>
  <cp:keywords/>
  <dc:description/>
  <cp:lastModifiedBy>Michal Makovnik</cp:lastModifiedBy>
  <cp:revision>2</cp:revision>
  <dcterms:created xsi:type="dcterms:W3CDTF">2025-01-16T09:38:00Z</dcterms:created>
  <dcterms:modified xsi:type="dcterms:W3CDTF">2025-01-27T09:42:00Z</dcterms:modified>
</cp:coreProperties>
</file>